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AB3306">
      <w:pPr>
        <w:widowControl/>
        <w:spacing w:before="156" w:beforeLines="50" w:after="156" w:afterLines="50"/>
        <w:jc w:val="center"/>
        <w:outlineLvl w:val="1"/>
        <w:rPr>
          <w:rFonts w:asciiTheme="majorEastAsia" w:hAnsiTheme="majorEastAsia" w:eastAsiaTheme="majorEastAsia" w:cstheme="majorEastAsia"/>
          <w:b/>
          <w:bCs/>
          <w:color w:val="222121"/>
          <w:kern w:val="36"/>
          <w:sz w:val="40"/>
          <w:szCs w:val="40"/>
        </w:rPr>
      </w:pPr>
      <w:bookmarkStart w:id="2" w:name="_GoBack"/>
      <w:bookmarkEnd w:id="2"/>
      <w:r>
        <w:rPr>
          <w:rFonts w:hint="eastAsia" w:asciiTheme="majorEastAsia" w:hAnsiTheme="majorEastAsia" w:eastAsiaTheme="majorEastAsia" w:cstheme="majorEastAsia"/>
          <w:b/>
          <w:bCs/>
          <w:color w:val="222121"/>
          <w:kern w:val="36"/>
          <w:sz w:val="40"/>
          <w:szCs w:val="40"/>
        </w:rPr>
        <w:t>法学院2023年招收攻读硕士学位研究生复试录取工作实施细则</w:t>
      </w:r>
    </w:p>
    <w:p w14:paraId="7264916C">
      <w:pPr>
        <w:widowControl/>
        <w:spacing w:before="156" w:beforeLines="50" w:after="156" w:afterLines="50"/>
        <w:jc w:val="center"/>
        <w:outlineLvl w:val="1"/>
        <w:rPr>
          <w:rFonts w:asciiTheme="majorEastAsia" w:hAnsiTheme="majorEastAsia" w:eastAsiaTheme="majorEastAsia" w:cstheme="majorEastAsia"/>
          <w:b/>
          <w:bCs/>
          <w:color w:val="222121"/>
          <w:kern w:val="36"/>
          <w:sz w:val="44"/>
          <w:szCs w:val="44"/>
        </w:rPr>
      </w:pPr>
    </w:p>
    <w:p w14:paraId="73E568DB">
      <w:pPr>
        <w:pStyle w:val="14"/>
        <w:numPr>
          <w:ilvl w:val="0"/>
          <w:numId w:val="1"/>
        </w:numPr>
        <w:spacing w:line="500" w:lineRule="exact"/>
        <w:ind w:right="840" w:rightChars="400" w:firstLineChars="0"/>
        <w:rPr>
          <w:rFonts w:ascii="黑体" w:hAnsi="黑体" w:eastAsia="黑体" w:cs="黑体"/>
          <w:sz w:val="32"/>
          <w:szCs w:val="32"/>
        </w:rPr>
      </w:pPr>
      <w:r>
        <w:rPr>
          <w:rFonts w:hint="eastAsia" w:ascii="黑体" w:hAnsi="黑体" w:eastAsia="黑体" w:cs="黑体"/>
          <w:sz w:val="32"/>
          <w:szCs w:val="32"/>
        </w:rPr>
        <w:t>指导思想</w:t>
      </w:r>
    </w:p>
    <w:p w14:paraId="3C919043">
      <w:pPr>
        <w:pStyle w:val="2"/>
        <w:spacing w:before="0" w:after="0" w:line="500" w:lineRule="exact"/>
        <w:ind w:firstLine="640" w:firstLineChars="200"/>
        <w:rPr>
          <w:rFonts w:ascii="仿宋" w:hAnsi="仿宋" w:eastAsia="仿宋" w:cs="仿宋"/>
          <w:b w:val="0"/>
          <w:sz w:val="32"/>
          <w:szCs w:val="32"/>
        </w:rPr>
      </w:pPr>
      <w:r>
        <w:rPr>
          <w:rFonts w:hint="eastAsia" w:ascii="仿宋" w:hAnsi="仿宋" w:eastAsia="仿宋" w:cs="仿宋"/>
          <w:b w:val="0"/>
          <w:sz w:val="32"/>
          <w:szCs w:val="32"/>
        </w:rPr>
        <w:t>以提高选拔质量为核心，继续坚持“按需招生、德智体美劳全面衡量、择优录取、宁缺毋滥”的原则，统筹全日制和非全日制研究生招生工作，保证稳定，优化结构，严格程序，进一步突出拔尖创新人才选拔。复试过程坚持政策透明、程序规范、过程公开、监督机制健全，切实维护研究生招生的公开、公平、公正，维护考生的合法权益。</w:t>
      </w:r>
    </w:p>
    <w:p w14:paraId="6A639669">
      <w:pPr>
        <w:spacing w:line="500" w:lineRule="exact"/>
        <w:rPr>
          <w:rFonts w:ascii="黑体" w:hAnsi="黑体" w:eastAsia="黑体" w:cs="黑体"/>
          <w:sz w:val="32"/>
          <w:szCs w:val="32"/>
        </w:rPr>
      </w:pPr>
      <w:r>
        <w:rPr>
          <w:rFonts w:hint="eastAsia" w:ascii="黑体" w:hAnsi="黑体" w:eastAsia="黑体" w:cs="黑体"/>
          <w:sz w:val="32"/>
          <w:szCs w:val="32"/>
        </w:rPr>
        <w:t>二、组织领导</w:t>
      </w:r>
    </w:p>
    <w:p w14:paraId="6665ACFE">
      <w:pPr>
        <w:pStyle w:val="7"/>
        <w:spacing w:before="0" w:beforeAutospacing="0" w:after="0" w:afterAutospacing="0" w:line="5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学院成立招生工作小组、复试小组、外国语听力与口语测试小组、监督小组，全面负责硕士研究生复试录取工作。做到压实责任，统筹考虑疫情防控、复试录取、网络技术、后勤保障等各方面因素，并对相关人员进行政策、纪律、规则及程序等方面的教育和培训。</w:t>
      </w:r>
    </w:p>
    <w:p w14:paraId="13AE9BF0">
      <w:pPr>
        <w:spacing w:after="156" w:afterLines="50" w:line="500" w:lineRule="exact"/>
        <w:rPr>
          <w:rFonts w:ascii="黑体" w:hAnsi="黑体" w:eastAsia="黑体" w:cs="黑体"/>
          <w:sz w:val="24"/>
          <w:szCs w:val="24"/>
        </w:rPr>
      </w:pPr>
      <w:r>
        <w:rPr>
          <w:rFonts w:hint="eastAsia" w:ascii="黑体" w:hAnsi="黑体" w:eastAsia="黑体" w:cs="黑体"/>
          <w:sz w:val="32"/>
          <w:szCs w:val="32"/>
        </w:rPr>
        <w:t>三、复试比例与招生计划</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4"/>
        <w:gridCol w:w="1280"/>
        <w:gridCol w:w="1330"/>
        <w:gridCol w:w="744"/>
        <w:gridCol w:w="1200"/>
        <w:gridCol w:w="900"/>
        <w:gridCol w:w="1287"/>
        <w:gridCol w:w="838"/>
      </w:tblGrid>
      <w:tr w14:paraId="4A6FB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4" w:type="dxa"/>
            <w:vAlign w:val="center"/>
          </w:tcPr>
          <w:p w14:paraId="53487A81">
            <w:pPr>
              <w:spacing w:line="500" w:lineRule="exact"/>
              <w:jc w:val="center"/>
              <w:rPr>
                <w:rFonts w:ascii="黑体" w:hAnsi="黑体" w:eastAsia="黑体" w:cs="宋体"/>
                <w:color w:val="000000" w:themeColor="text1"/>
                <w:sz w:val="20"/>
                <w:szCs w:val="20"/>
                <w14:textFill>
                  <w14:solidFill>
                    <w14:schemeClr w14:val="tx1"/>
                  </w14:solidFill>
                </w14:textFill>
              </w:rPr>
            </w:pPr>
            <w:r>
              <w:rPr>
                <w:rFonts w:hint="eastAsia" w:ascii="黑体" w:hAnsi="黑体" w:eastAsia="黑体" w:cs="宋体"/>
                <w:color w:val="000000" w:themeColor="text1"/>
                <w:sz w:val="20"/>
                <w:szCs w:val="20"/>
                <w14:textFill>
                  <w14:solidFill>
                    <w14:schemeClr w14:val="tx1"/>
                  </w14:solidFill>
                </w14:textFill>
              </w:rPr>
              <w:t>专业代码</w:t>
            </w:r>
          </w:p>
        </w:tc>
        <w:tc>
          <w:tcPr>
            <w:tcW w:w="1280" w:type="dxa"/>
            <w:vAlign w:val="center"/>
          </w:tcPr>
          <w:p w14:paraId="07C8A798">
            <w:pPr>
              <w:spacing w:line="500" w:lineRule="exact"/>
              <w:jc w:val="center"/>
              <w:rPr>
                <w:rFonts w:ascii="黑体" w:hAnsi="黑体" w:eastAsia="黑体" w:cs="宋体"/>
                <w:color w:val="000000" w:themeColor="text1"/>
                <w:sz w:val="20"/>
                <w:szCs w:val="20"/>
                <w14:textFill>
                  <w14:solidFill>
                    <w14:schemeClr w14:val="tx1"/>
                  </w14:solidFill>
                </w14:textFill>
              </w:rPr>
            </w:pPr>
            <w:r>
              <w:rPr>
                <w:rFonts w:hint="eastAsia" w:ascii="黑体" w:hAnsi="黑体" w:eastAsia="黑体" w:cs="宋体"/>
                <w:color w:val="000000" w:themeColor="text1"/>
                <w:sz w:val="20"/>
                <w:szCs w:val="20"/>
                <w14:textFill>
                  <w14:solidFill>
                    <w14:schemeClr w14:val="tx1"/>
                  </w14:solidFill>
                </w14:textFill>
              </w:rPr>
              <w:t>专业名称</w:t>
            </w:r>
          </w:p>
        </w:tc>
        <w:tc>
          <w:tcPr>
            <w:tcW w:w="1330" w:type="dxa"/>
            <w:vAlign w:val="center"/>
          </w:tcPr>
          <w:p w14:paraId="136A7E41">
            <w:pPr>
              <w:spacing w:line="500" w:lineRule="exact"/>
              <w:jc w:val="center"/>
              <w:rPr>
                <w:rFonts w:ascii="黑体" w:hAnsi="黑体" w:eastAsia="黑体" w:cs="宋体"/>
                <w:color w:val="000000" w:themeColor="text1"/>
                <w:sz w:val="20"/>
                <w:szCs w:val="20"/>
                <w14:textFill>
                  <w14:solidFill>
                    <w14:schemeClr w14:val="tx1"/>
                  </w14:solidFill>
                </w14:textFill>
              </w:rPr>
            </w:pPr>
            <w:r>
              <w:rPr>
                <w:rFonts w:hint="eastAsia" w:ascii="黑体" w:hAnsi="黑体" w:eastAsia="黑体" w:cs="宋体"/>
                <w:color w:val="000000" w:themeColor="text1"/>
                <w:sz w:val="20"/>
                <w:szCs w:val="20"/>
                <w14:textFill>
                  <w14:solidFill>
                    <w14:schemeClr w14:val="tx1"/>
                  </w14:solidFill>
                </w14:textFill>
              </w:rPr>
              <w:t>研究方向</w:t>
            </w:r>
          </w:p>
        </w:tc>
        <w:tc>
          <w:tcPr>
            <w:tcW w:w="744" w:type="dxa"/>
            <w:vAlign w:val="center"/>
          </w:tcPr>
          <w:p w14:paraId="339A11DA">
            <w:pPr>
              <w:spacing w:line="500" w:lineRule="exact"/>
              <w:jc w:val="center"/>
              <w:rPr>
                <w:rFonts w:ascii="黑体" w:hAnsi="黑体" w:eastAsia="黑体" w:cs="宋体"/>
                <w:color w:val="000000" w:themeColor="text1"/>
                <w:sz w:val="20"/>
                <w:szCs w:val="20"/>
                <w14:textFill>
                  <w14:solidFill>
                    <w14:schemeClr w14:val="tx1"/>
                  </w14:solidFill>
                </w14:textFill>
              </w:rPr>
            </w:pPr>
            <w:r>
              <w:rPr>
                <w:rFonts w:hint="eastAsia" w:ascii="黑体" w:hAnsi="黑体" w:eastAsia="黑体" w:cs="宋体"/>
                <w:color w:val="000000" w:themeColor="text1"/>
                <w:sz w:val="20"/>
                <w:szCs w:val="20"/>
                <w14:textFill>
                  <w14:solidFill>
                    <w14:schemeClr w14:val="tx1"/>
                  </w14:solidFill>
                </w14:textFill>
              </w:rPr>
              <w:t>学习方式</w:t>
            </w:r>
          </w:p>
        </w:tc>
        <w:tc>
          <w:tcPr>
            <w:tcW w:w="1200" w:type="dxa"/>
            <w:vAlign w:val="center"/>
          </w:tcPr>
          <w:p w14:paraId="0A8EE7D0">
            <w:pPr>
              <w:spacing w:line="500" w:lineRule="exact"/>
              <w:jc w:val="center"/>
              <w:rPr>
                <w:rFonts w:ascii="黑体" w:hAnsi="黑体" w:eastAsia="黑体" w:cs="宋体"/>
                <w:color w:val="000000" w:themeColor="text1"/>
                <w:sz w:val="20"/>
                <w:szCs w:val="20"/>
                <w14:textFill>
                  <w14:solidFill>
                    <w14:schemeClr w14:val="tx1"/>
                  </w14:solidFill>
                </w14:textFill>
              </w:rPr>
            </w:pPr>
            <w:r>
              <w:rPr>
                <w:rFonts w:hint="eastAsia" w:ascii="黑体" w:hAnsi="黑体" w:eastAsia="黑体" w:cs="宋体"/>
                <w:color w:val="000000" w:themeColor="text1"/>
                <w:sz w:val="20"/>
                <w:szCs w:val="20"/>
                <w14:textFill>
                  <w14:solidFill>
                    <w14:schemeClr w14:val="tx1"/>
                  </w14:solidFill>
                </w14:textFill>
              </w:rPr>
              <w:t>类型</w:t>
            </w:r>
          </w:p>
        </w:tc>
        <w:tc>
          <w:tcPr>
            <w:tcW w:w="900" w:type="dxa"/>
            <w:vAlign w:val="center"/>
          </w:tcPr>
          <w:p w14:paraId="04055EC1">
            <w:pPr>
              <w:spacing w:line="500" w:lineRule="exact"/>
              <w:jc w:val="center"/>
              <w:rPr>
                <w:rFonts w:ascii="黑体" w:hAnsi="黑体" w:eastAsia="黑体" w:cs="宋体"/>
                <w:color w:val="000000" w:themeColor="text1"/>
                <w:sz w:val="20"/>
                <w:szCs w:val="20"/>
                <w14:textFill>
                  <w14:solidFill>
                    <w14:schemeClr w14:val="tx1"/>
                  </w14:solidFill>
                </w14:textFill>
              </w:rPr>
            </w:pPr>
            <w:r>
              <w:rPr>
                <w:rFonts w:hint="eastAsia" w:ascii="黑体" w:hAnsi="黑体" w:eastAsia="黑体" w:cs="宋体"/>
                <w:color w:val="000000" w:themeColor="text1"/>
                <w:sz w:val="20"/>
                <w:szCs w:val="20"/>
                <w14:textFill>
                  <w14:solidFill>
                    <w14:schemeClr w14:val="tx1"/>
                  </w14:solidFill>
                </w14:textFill>
              </w:rPr>
              <w:t>招生计划</w:t>
            </w:r>
          </w:p>
        </w:tc>
        <w:tc>
          <w:tcPr>
            <w:tcW w:w="1287" w:type="dxa"/>
            <w:vAlign w:val="center"/>
          </w:tcPr>
          <w:p w14:paraId="628E2EE7">
            <w:pPr>
              <w:spacing w:line="500" w:lineRule="exact"/>
              <w:jc w:val="center"/>
              <w:rPr>
                <w:rFonts w:ascii="黑体" w:hAnsi="黑体" w:eastAsia="黑体" w:cs="宋体"/>
                <w:color w:val="000000" w:themeColor="text1"/>
                <w:sz w:val="20"/>
                <w:szCs w:val="20"/>
                <w14:textFill>
                  <w14:solidFill>
                    <w14:schemeClr w14:val="tx1"/>
                  </w14:solidFill>
                </w14:textFill>
              </w:rPr>
            </w:pPr>
            <w:r>
              <w:rPr>
                <w:rFonts w:hint="eastAsia" w:ascii="黑体" w:hAnsi="黑体" w:eastAsia="黑体" w:cs="宋体"/>
                <w:color w:val="000000" w:themeColor="text1"/>
                <w:sz w:val="20"/>
                <w:szCs w:val="20"/>
                <w14:textFill>
                  <w14:solidFill>
                    <w14:schemeClr w14:val="tx1"/>
                  </w14:solidFill>
                </w14:textFill>
              </w:rPr>
              <w:t>已录推免生数</w:t>
            </w:r>
          </w:p>
        </w:tc>
        <w:tc>
          <w:tcPr>
            <w:tcW w:w="838" w:type="dxa"/>
            <w:vAlign w:val="center"/>
          </w:tcPr>
          <w:p w14:paraId="629EB938">
            <w:pPr>
              <w:spacing w:line="500" w:lineRule="exact"/>
              <w:jc w:val="center"/>
              <w:rPr>
                <w:rFonts w:ascii="黑体" w:hAnsi="黑体" w:eastAsia="黑体" w:cs="宋体"/>
                <w:color w:val="000000" w:themeColor="text1"/>
                <w:sz w:val="20"/>
                <w:szCs w:val="20"/>
                <w14:textFill>
                  <w14:solidFill>
                    <w14:schemeClr w14:val="tx1"/>
                  </w14:solidFill>
                </w14:textFill>
              </w:rPr>
            </w:pPr>
            <w:r>
              <w:rPr>
                <w:rFonts w:hint="eastAsia" w:ascii="黑体" w:hAnsi="黑体" w:eastAsia="黑体" w:cs="宋体"/>
                <w:color w:val="000000" w:themeColor="text1"/>
                <w:sz w:val="20"/>
                <w:szCs w:val="20"/>
                <w14:textFill>
                  <w14:solidFill>
                    <w14:schemeClr w14:val="tx1"/>
                  </w14:solidFill>
                </w14:textFill>
              </w:rPr>
              <w:t>复试比例</w:t>
            </w:r>
          </w:p>
        </w:tc>
      </w:tr>
      <w:tr w14:paraId="4B33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4" w:type="dxa"/>
            <w:vAlign w:val="center"/>
          </w:tcPr>
          <w:p w14:paraId="1856E4FE">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001</w:t>
            </w:r>
          </w:p>
        </w:tc>
        <w:tc>
          <w:tcPr>
            <w:tcW w:w="1280" w:type="dxa"/>
            <w:vAlign w:val="center"/>
          </w:tcPr>
          <w:p w14:paraId="554CFB74">
            <w:pPr>
              <w:widowControl/>
              <w:spacing w:line="500" w:lineRule="exact"/>
              <w:jc w:val="lef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法学</w:t>
            </w:r>
          </w:p>
        </w:tc>
        <w:tc>
          <w:tcPr>
            <w:tcW w:w="1330" w:type="dxa"/>
            <w:vAlign w:val="center"/>
          </w:tcPr>
          <w:p w14:paraId="7782D1E9">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法律史</w:t>
            </w:r>
          </w:p>
        </w:tc>
        <w:tc>
          <w:tcPr>
            <w:tcW w:w="744" w:type="dxa"/>
            <w:vAlign w:val="center"/>
          </w:tcPr>
          <w:p w14:paraId="79024066">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全日制</w:t>
            </w:r>
          </w:p>
        </w:tc>
        <w:tc>
          <w:tcPr>
            <w:tcW w:w="1200" w:type="dxa"/>
            <w:vAlign w:val="center"/>
          </w:tcPr>
          <w:p w14:paraId="10DEA5E8">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学术型</w:t>
            </w:r>
          </w:p>
        </w:tc>
        <w:tc>
          <w:tcPr>
            <w:tcW w:w="900" w:type="dxa"/>
            <w:vAlign w:val="center"/>
          </w:tcPr>
          <w:p w14:paraId="327DEB90">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2</w:t>
            </w:r>
          </w:p>
        </w:tc>
        <w:tc>
          <w:tcPr>
            <w:tcW w:w="1287" w:type="dxa"/>
            <w:vAlign w:val="center"/>
          </w:tcPr>
          <w:p w14:paraId="1C0AEDC0">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0</w:t>
            </w:r>
          </w:p>
        </w:tc>
        <w:tc>
          <w:tcPr>
            <w:tcW w:w="838" w:type="dxa"/>
            <w:vAlign w:val="center"/>
          </w:tcPr>
          <w:p w14:paraId="75A87BB7">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150.0%</w:t>
            </w:r>
          </w:p>
        </w:tc>
      </w:tr>
      <w:tr w14:paraId="6ED2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64" w:type="dxa"/>
            <w:vAlign w:val="center"/>
          </w:tcPr>
          <w:p w14:paraId="0A2453E0">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001</w:t>
            </w:r>
          </w:p>
        </w:tc>
        <w:tc>
          <w:tcPr>
            <w:tcW w:w="1280" w:type="dxa"/>
            <w:vAlign w:val="center"/>
          </w:tcPr>
          <w:p w14:paraId="6A6855A4">
            <w:pPr>
              <w:widowControl/>
              <w:spacing w:line="500" w:lineRule="exact"/>
              <w:jc w:val="lef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法学</w:t>
            </w:r>
          </w:p>
        </w:tc>
        <w:tc>
          <w:tcPr>
            <w:tcW w:w="1330" w:type="dxa"/>
            <w:vAlign w:val="center"/>
          </w:tcPr>
          <w:p w14:paraId="3AFB00D9">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宪法学与行政法学</w:t>
            </w:r>
          </w:p>
        </w:tc>
        <w:tc>
          <w:tcPr>
            <w:tcW w:w="744" w:type="dxa"/>
            <w:vAlign w:val="center"/>
          </w:tcPr>
          <w:p w14:paraId="2901272D">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全日制</w:t>
            </w:r>
          </w:p>
        </w:tc>
        <w:tc>
          <w:tcPr>
            <w:tcW w:w="1200" w:type="dxa"/>
            <w:vAlign w:val="center"/>
          </w:tcPr>
          <w:p w14:paraId="11CFC31D">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学术型</w:t>
            </w:r>
          </w:p>
        </w:tc>
        <w:tc>
          <w:tcPr>
            <w:tcW w:w="900" w:type="dxa"/>
            <w:vAlign w:val="center"/>
          </w:tcPr>
          <w:p w14:paraId="6090B139">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9</w:t>
            </w:r>
          </w:p>
        </w:tc>
        <w:tc>
          <w:tcPr>
            <w:tcW w:w="1287" w:type="dxa"/>
            <w:vAlign w:val="center"/>
          </w:tcPr>
          <w:p w14:paraId="14F2F483">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0</w:t>
            </w:r>
          </w:p>
        </w:tc>
        <w:tc>
          <w:tcPr>
            <w:tcW w:w="838" w:type="dxa"/>
            <w:vAlign w:val="center"/>
          </w:tcPr>
          <w:p w14:paraId="23DC7D22">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150.0%</w:t>
            </w:r>
          </w:p>
        </w:tc>
      </w:tr>
      <w:tr w14:paraId="43C6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64" w:type="dxa"/>
            <w:vAlign w:val="center"/>
          </w:tcPr>
          <w:p w14:paraId="09773959">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001</w:t>
            </w:r>
          </w:p>
        </w:tc>
        <w:tc>
          <w:tcPr>
            <w:tcW w:w="1280" w:type="dxa"/>
            <w:vAlign w:val="center"/>
          </w:tcPr>
          <w:p w14:paraId="6FFE1870">
            <w:pPr>
              <w:widowControl/>
              <w:spacing w:line="500" w:lineRule="exact"/>
              <w:jc w:val="lef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法学</w:t>
            </w:r>
          </w:p>
        </w:tc>
        <w:tc>
          <w:tcPr>
            <w:tcW w:w="1330" w:type="dxa"/>
            <w:vAlign w:val="center"/>
          </w:tcPr>
          <w:p w14:paraId="6C3E2639">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刑法学</w:t>
            </w:r>
          </w:p>
        </w:tc>
        <w:tc>
          <w:tcPr>
            <w:tcW w:w="744" w:type="dxa"/>
            <w:vAlign w:val="center"/>
          </w:tcPr>
          <w:p w14:paraId="67523377">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全日制</w:t>
            </w:r>
          </w:p>
        </w:tc>
        <w:tc>
          <w:tcPr>
            <w:tcW w:w="1200" w:type="dxa"/>
            <w:vAlign w:val="center"/>
          </w:tcPr>
          <w:p w14:paraId="3E81DDFA">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学术型</w:t>
            </w:r>
          </w:p>
        </w:tc>
        <w:tc>
          <w:tcPr>
            <w:tcW w:w="900" w:type="dxa"/>
            <w:vAlign w:val="center"/>
          </w:tcPr>
          <w:p w14:paraId="004C3727">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10</w:t>
            </w:r>
          </w:p>
        </w:tc>
        <w:tc>
          <w:tcPr>
            <w:tcW w:w="1287" w:type="dxa"/>
            <w:vAlign w:val="center"/>
          </w:tcPr>
          <w:p w14:paraId="705A79A6">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0</w:t>
            </w:r>
          </w:p>
        </w:tc>
        <w:tc>
          <w:tcPr>
            <w:tcW w:w="838" w:type="dxa"/>
            <w:vAlign w:val="center"/>
          </w:tcPr>
          <w:p w14:paraId="37BAFCC4">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150.0%</w:t>
            </w:r>
          </w:p>
        </w:tc>
      </w:tr>
      <w:tr w14:paraId="5F149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64" w:type="dxa"/>
            <w:vAlign w:val="center"/>
          </w:tcPr>
          <w:p w14:paraId="04CD0028">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001</w:t>
            </w:r>
          </w:p>
        </w:tc>
        <w:tc>
          <w:tcPr>
            <w:tcW w:w="1280" w:type="dxa"/>
            <w:vAlign w:val="center"/>
          </w:tcPr>
          <w:p w14:paraId="4E6D85FA">
            <w:pPr>
              <w:widowControl/>
              <w:spacing w:line="500" w:lineRule="exact"/>
              <w:jc w:val="lef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法学</w:t>
            </w:r>
          </w:p>
        </w:tc>
        <w:tc>
          <w:tcPr>
            <w:tcW w:w="1330" w:type="dxa"/>
            <w:vAlign w:val="center"/>
          </w:tcPr>
          <w:p w14:paraId="5BF11B5C">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民商法学</w:t>
            </w:r>
          </w:p>
        </w:tc>
        <w:tc>
          <w:tcPr>
            <w:tcW w:w="744" w:type="dxa"/>
            <w:vAlign w:val="center"/>
          </w:tcPr>
          <w:p w14:paraId="032B1731">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全日制</w:t>
            </w:r>
          </w:p>
        </w:tc>
        <w:tc>
          <w:tcPr>
            <w:tcW w:w="1200" w:type="dxa"/>
            <w:vAlign w:val="center"/>
          </w:tcPr>
          <w:p w14:paraId="70BC8A53">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学术型</w:t>
            </w:r>
          </w:p>
        </w:tc>
        <w:tc>
          <w:tcPr>
            <w:tcW w:w="900" w:type="dxa"/>
            <w:vAlign w:val="center"/>
          </w:tcPr>
          <w:p w14:paraId="37011F6B">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11</w:t>
            </w:r>
          </w:p>
        </w:tc>
        <w:tc>
          <w:tcPr>
            <w:tcW w:w="1287" w:type="dxa"/>
            <w:vAlign w:val="center"/>
          </w:tcPr>
          <w:p w14:paraId="4EAB4100">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0</w:t>
            </w:r>
          </w:p>
        </w:tc>
        <w:tc>
          <w:tcPr>
            <w:tcW w:w="838" w:type="dxa"/>
            <w:vAlign w:val="center"/>
          </w:tcPr>
          <w:p w14:paraId="27333851">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150.0%</w:t>
            </w:r>
          </w:p>
        </w:tc>
      </w:tr>
      <w:tr w14:paraId="57236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64" w:type="dxa"/>
            <w:vAlign w:val="center"/>
          </w:tcPr>
          <w:p w14:paraId="58526E00">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001</w:t>
            </w:r>
          </w:p>
        </w:tc>
        <w:tc>
          <w:tcPr>
            <w:tcW w:w="1280" w:type="dxa"/>
            <w:vAlign w:val="center"/>
          </w:tcPr>
          <w:p w14:paraId="3DB4767B">
            <w:pPr>
              <w:widowControl/>
              <w:spacing w:line="500" w:lineRule="exact"/>
              <w:jc w:val="lef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法学</w:t>
            </w:r>
          </w:p>
        </w:tc>
        <w:tc>
          <w:tcPr>
            <w:tcW w:w="1330" w:type="dxa"/>
            <w:vAlign w:val="center"/>
          </w:tcPr>
          <w:p w14:paraId="0978EC7E">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诉讼法学</w:t>
            </w:r>
          </w:p>
        </w:tc>
        <w:tc>
          <w:tcPr>
            <w:tcW w:w="744" w:type="dxa"/>
            <w:vAlign w:val="center"/>
          </w:tcPr>
          <w:p w14:paraId="17116E6A">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全日制</w:t>
            </w:r>
          </w:p>
        </w:tc>
        <w:tc>
          <w:tcPr>
            <w:tcW w:w="1200" w:type="dxa"/>
            <w:vAlign w:val="center"/>
          </w:tcPr>
          <w:p w14:paraId="457CD501">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学术型</w:t>
            </w:r>
          </w:p>
        </w:tc>
        <w:tc>
          <w:tcPr>
            <w:tcW w:w="900" w:type="dxa"/>
            <w:vAlign w:val="center"/>
          </w:tcPr>
          <w:p w14:paraId="74342D97">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2</w:t>
            </w:r>
          </w:p>
        </w:tc>
        <w:tc>
          <w:tcPr>
            <w:tcW w:w="1287" w:type="dxa"/>
            <w:vAlign w:val="center"/>
          </w:tcPr>
          <w:p w14:paraId="38015DC4">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0</w:t>
            </w:r>
          </w:p>
        </w:tc>
        <w:tc>
          <w:tcPr>
            <w:tcW w:w="838" w:type="dxa"/>
            <w:vAlign w:val="center"/>
          </w:tcPr>
          <w:p w14:paraId="7ABFA6DD">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150.0%</w:t>
            </w:r>
          </w:p>
        </w:tc>
      </w:tr>
      <w:tr w14:paraId="4EF3D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64" w:type="dxa"/>
            <w:vAlign w:val="center"/>
          </w:tcPr>
          <w:p w14:paraId="15567A98">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001</w:t>
            </w:r>
          </w:p>
        </w:tc>
        <w:tc>
          <w:tcPr>
            <w:tcW w:w="1280" w:type="dxa"/>
            <w:vAlign w:val="center"/>
          </w:tcPr>
          <w:p w14:paraId="54E3C2B4">
            <w:pPr>
              <w:widowControl/>
              <w:spacing w:line="500" w:lineRule="exact"/>
              <w:jc w:val="lef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法学</w:t>
            </w:r>
          </w:p>
        </w:tc>
        <w:tc>
          <w:tcPr>
            <w:tcW w:w="1330" w:type="dxa"/>
            <w:vAlign w:val="center"/>
          </w:tcPr>
          <w:p w14:paraId="5289F457">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经济法学</w:t>
            </w:r>
          </w:p>
        </w:tc>
        <w:tc>
          <w:tcPr>
            <w:tcW w:w="744" w:type="dxa"/>
            <w:vAlign w:val="center"/>
          </w:tcPr>
          <w:p w14:paraId="513F92CB">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全日制</w:t>
            </w:r>
          </w:p>
        </w:tc>
        <w:tc>
          <w:tcPr>
            <w:tcW w:w="1200" w:type="dxa"/>
            <w:vAlign w:val="center"/>
          </w:tcPr>
          <w:p w14:paraId="1391E4F5">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学术型</w:t>
            </w:r>
          </w:p>
        </w:tc>
        <w:tc>
          <w:tcPr>
            <w:tcW w:w="900" w:type="dxa"/>
            <w:vAlign w:val="center"/>
          </w:tcPr>
          <w:p w14:paraId="663855E1">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8</w:t>
            </w:r>
          </w:p>
        </w:tc>
        <w:tc>
          <w:tcPr>
            <w:tcW w:w="1287" w:type="dxa"/>
            <w:vAlign w:val="center"/>
          </w:tcPr>
          <w:p w14:paraId="0CE1F2C4">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0</w:t>
            </w:r>
          </w:p>
        </w:tc>
        <w:tc>
          <w:tcPr>
            <w:tcW w:w="838" w:type="dxa"/>
            <w:vAlign w:val="center"/>
          </w:tcPr>
          <w:p w14:paraId="65C9C295">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150.0%</w:t>
            </w:r>
          </w:p>
        </w:tc>
      </w:tr>
      <w:tr w14:paraId="126D6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64" w:type="dxa"/>
            <w:vAlign w:val="center"/>
          </w:tcPr>
          <w:p w14:paraId="213CF5DF">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001</w:t>
            </w:r>
          </w:p>
        </w:tc>
        <w:tc>
          <w:tcPr>
            <w:tcW w:w="1280" w:type="dxa"/>
            <w:vAlign w:val="center"/>
          </w:tcPr>
          <w:p w14:paraId="7CE1BA3D">
            <w:pPr>
              <w:widowControl/>
              <w:spacing w:line="500" w:lineRule="exact"/>
              <w:jc w:val="lef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法学</w:t>
            </w:r>
          </w:p>
        </w:tc>
        <w:tc>
          <w:tcPr>
            <w:tcW w:w="1330" w:type="dxa"/>
            <w:vAlign w:val="center"/>
          </w:tcPr>
          <w:p w14:paraId="2147B9EF">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国际法学</w:t>
            </w:r>
          </w:p>
        </w:tc>
        <w:tc>
          <w:tcPr>
            <w:tcW w:w="744" w:type="dxa"/>
            <w:vAlign w:val="center"/>
          </w:tcPr>
          <w:p w14:paraId="1778344B">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全日制</w:t>
            </w:r>
          </w:p>
        </w:tc>
        <w:tc>
          <w:tcPr>
            <w:tcW w:w="1200" w:type="dxa"/>
            <w:vAlign w:val="center"/>
          </w:tcPr>
          <w:p w14:paraId="3A29C16E">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学术型</w:t>
            </w:r>
          </w:p>
        </w:tc>
        <w:tc>
          <w:tcPr>
            <w:tcW w:w="900" w:type="dxa"/>
            <w:vAlign w:val="center"/>
          </w:tcPr>
          <w:p w14:paraId="0812CEF7">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4（含推免生）</w:t>
            </w:r>
          </w:p>
        </w:tc>
        <w:tc>
          <w:tcPr>
            <w:tcW w:w="1287" w:type="dxa"/>
            <w:vAlign w:val="center"/>
          </w:tcPr>
          <w:p w14:paraId="347666A3">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1</w:t>
            </w:r>
          </w:p>
        </w:tc>
        <w:tc>
          <w:tcPr>
            <w:tcW w:w="838" w:type="dxa"/>
            <w:vAlign w:val="center"/>
          </w:tcPr>
          <w:p w14:paraId="6071C63A">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150.0%</w:t>
            </w:r>
          </w:p>
        </w:tc>
      </w:tr>
      <w:tr w14:paraId="748E5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64" w:type="dxa"/>
            <w:vAlign w:val="center"/>
          </w:tcPr>
          <w:p w14:paraId="143B0A0E">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001</w:t>
            </w:r>
          </w:p>
        </w:tc>
        <w:tc>
          <w:tcPr>
            <w:tcW w:w="1280" w:type="dxa"/>
            <w:vAlign w:val="center"/>
          </w:tcPr>
          <w:p w14:paraId="60D409D9">
            <w:pPr>
              <w:widowControl/>
              <w:spacing w:line="500" w:lineRule="exact"/>
              <w:jc w:val="lef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知识产权法学</w:t>
            </w:r>
          </w:p>
        </w:tc>
        <w:tc>
          <w:tcPr>
            <w:tcW w:w="1330" w:type="dxa"/>
            <w:vAlign w:val="center"/>
          </w:tcPr>
          <w:p w14:paraId="190B9AA4">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p>
        </w:tc>
        <w:tc>
          <w:tcPr>
            <w:tcW w:w="744" w:type="dxa"/>
            <w:vAlign w:val="center"/>
          </w:tcPr>
          <w:p w14:paraId="63EA2DC6">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全日制</w:t>
            </w:r>
          </w:p>
        </w:tc>
        <w:tc>
          <w:tcPr>
            <w:tcW w:w="1200" w:type="dxa"/>
            <w:vAlign w:val="center"/>
          </w:tcPr>
          <w:p w14:paraId="6612F5B8">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学术型</w:t>
            </w:r>
          </w:p>
        </w:tc>
        <w:tc>
          <w:tcPr>
            <w:tcW w:w="900" w:type="dxa"/>
            <w:vAlign w:val="center"/>
          </w:tcPr>
          <w:p w14:paraId="3852E215">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5</w:t>
            </w:r>
          </w:p>
        </w:tc>
        <w:tc>
          <w:tcPr>
            <w:tcW w:w="1287" w:type="dxa"/>
            <w:vAlign w:val="center"/>
          </w:tcPr>
          <w:p w14:paraId="77981A83">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0</w:t>
            </w:r>
          </w:p>
        </w:tc>
        <w:tc>
          <w:tcPr>
            <w:tcW w:w="838" w:type="dxa"/>
            <w:vAlign w:val="center"/>
          </w:tcPr>
          <w:p w14:paraId="4E2F86AC">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150.0%</w:t>
            </w:r>
          </w:p>
        </w:tc>
      </w:tr>
      <w:tr w14:paraId="4330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64" w:type="dxa"/>
            <w:vAlign w:val="center"/>
          </w:tcPr>
          <w:p w14:paraId="55A627D5">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001</w:t>
            </w:r>
          </w:p>
        </w:tc>
        <w:tc>
          <w:tcPr>
            <w:tcW w:w="1280" w:type="dxa"/>
            <w:vAlign w:val="center"/>
          </w:tcPr>
          <w:p w14:paraId="29A59049">
            <w:pPr>
              <w:widowControl/>
              <w:spacing w:line="500" w:lineRule="exact"/>
              <w:jc w:val="lef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法律硕士（非法学）</w:t>
            </w:r>
          </w:p>
        </w:tc>
        <w:tc>
          <w:tcPr>
            <w:tcW w:w="1330" w:type="dxa"/>
            <w:vAlign w:val="center"/>
          </w:tcPr>
          <w:p w14:paraId="262E0D52">
            <w:pPr>
              <w:widowControl/>
              <w:spacing w:line="500" w:lineRule="exact"/>
              <w:jc w:val="lef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法律硕士（非法学）</w:t>
            </w:r>
          </w:p>
        </w:tc>
        <w:tc>
          <w:tcPr>
            <w:tcW w:w="744" w:type="dxa"/>
            <w:vAlign w:val="center"/>
          </w:tcPr>
          <w:p w14:paraId="07AADAB3">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全日制</w:t>
            </w:r>
          </w:p>
          <w:p w14:paraId="01D3AEE3">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非、全日制</w:t>
            </w:r>
          </w:p>
        </w:tc>
        <w:tc>
          <w:tcPr>
            <w:tcW w:w="1200" w:type="dxa"/>
            <w:vAlign w:val="center"/>
          </w:tcPr>
          <w:p w14:paraId="2CEA7B0B">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专业学位</w:t>
            </w:r>
          </w:p>
        </w:tc>
        <w:tc>
          <w:tcPr>
            <w:tcW w:w="900" w:type="dxa"/>
            <w:vAlign w:val="center"/>
          </w:tcPr>
          <w:p w14:paraId="1D1764C0">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全日制指标28，非全日制指标30</w:t>
            </w:r>
          </w:p>
        </w:tc>
        <w:tc>
          <w:tcPr>
            <w:tcW w:w="1287" w:type="dxa"/>
            <w:vAlign w:val="center"/>
          </w:tcPr>
          <w:p w14:paraId="1A159B07">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0</w:t>
            </w:r>
          </w:p>
        </w:tc>
        <w:tc>
          <w:tcPr>
            <w:tcW w:w="838" w:type="dxa"/>
            <w:vAlign w:val="center"/>
          </w:tcPr>
          <w:p w14:paraId="7A4F45FE">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150.0%</w:t>
            </w:r>
          </w:p>
          <w:p w14:paraId="0F15E49B">
            <w:pPr>
              <w:spacing w:line="500" w:lineRule="exact"/>
              <w:jc w:val="center"/>
              <w:rPr>
                <w:rFonts w:ascii="宋体" w:hAnsi="宋体" w:eastAsia="宋体" w:cs="宋体"/>
                <w:color w:val="000000" w:themeColor="text1"/>
                <w:sz w:val="18"/>
                <w:szCs w:val="18"/>
                <w14:textFill>
                  <w14:solidFill>
                    <w14:schemeClr w14:val="tx1"/>
                  </w14:solidFill>
                </w14:textFill>
              </w:rPr>
            </w:pPr>
          </w:p>
        </w:tc>
      </w:tr>
      <w:tr w14:paraId="3D601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64" w:type="dxa"/>
            <w:vAlign w:val="center"/>
          </w:tcPr>
          <w:p w14:paraId="6F8CB31D">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001</w:t>
            </w:r>
          </w:p>
        </w:tc>
        <w:tc>
          <w:tcPr>
            <w:tcW w:w="1280" w:type="dxa"/>
            <w:vAlign w:val="center"/>
          </w:tcPr>
          <w:p w14:paraId="581D5AE5">
            <w:pPr>
              <w:widowControl/>
              <w:spacing w:line="500" w:lineRule="exact"/>
              <w:jc w:val="lef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法律硕士（法学）</w:t>
            </w:r>
          </w:p>
        </w:tc>
        <w:tc>
          <w:tcPr>
            <w:tcW w:w="1330" w:type="dxa"/>
            <w:vAlign w:val="center"/>
          </w:tcPr>
          <w:p w14:paraId="5FA01806">
            <w:pPr>
              <w:widowControl/>
              <w:spacing w:line="500" w:lineRule="exact"/>
              <w:jc w:val="left"/>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法律硕士（法学）</w:t>
            </w:r>
          </w:p>
        </w:tc>
        <w:tc>
          <w:tcPr>
            <w:tcW w:w="744" w:type="dxa"/>
            <w:vAlign w:val="center"/>
          </w:tcPr>
          <w:p w14:paraId="1CF6867C">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全日制、非全日制</w:t>
            </w:r>
          </w:p>
        </w:tc>
        <w:tc>
          <w:tcPr>
            <w:tcW w:w="1200" w:type="dxa"/>
            <w:vAlign w:val="center"/>
          </w:tcPr>
          <w:p w14:paraId="0E0C0C30">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专业学位</w:t>
            </w:r>
          </w:p>
        </w:tc>
        <w:tc>
          <w:tcPr>
            <w:tcW w:w="900" w:type="dxa"/>
            <w:vAlign w:val="center"/>
          </w:tcPr>
          <w:p w14:paraId="0DC69BDA">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全日制指标27（含推免生），非全日制指标23</w:t>
            </w:r>
          </w:p>
        </w:tc>
        <w:tc>
          <w:tcPr>
            <w:tcW w:w="1287" w:type="dxa"/>
            <w:vAlign w:val="center"/>
          </w:tcPr>
          <w:p w14:paraId="58658929">
            <w:pPr>
              <w:widowControl/>
              <w:spacing w:line="500" w:lineRule="exact"/>
              <w:jc w:val="center"/>
              <w:textAlignment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bidi="ar"/>
                <w14:textFill>
                  <w14:solidFill>
                    <w14:schemeClr w14:val="tx1"/>
                  </w14:solidFill>
                </w14:textFill>
              </w:rPr>
              <w:t>1</w:t>
            </w:r>
          </w:p>
        </w:tc>
        <w:tc>
          <w:tcPr>
            <w:tcW w:w="838" w:type="dxa"/>
            <w:vAlign w:val="center"/>
          </w:tcPr>
          <w:p w14:paraId="06DA8918">
            <w:pPr>
              <w:spacing w:line="500" w:lineRule="exact"/>
              <w:jc w:val="center"/>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14:textFill>
                  <w14:solidFill>
                    <w14:schemeClr w14:val="tx1"/>
                  </w14:solidFill>
                </w14:textFill>
              </w:rPr>
              <w:t>150.0%</w:t>
            </w:r>
          </w:p>
        </w:tc>
      </w:tr>
      <w:tr w14:paraId="323CB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8443" w:type="dxa"/>
            <w:gridSpan w:val="8"/>
            <w:vAlign w:val="center"/>
          </w:tcPr>
          <w:p w14:paraId="10738E15">
            <w:pPr>
              <w:tabs>
                <w:tab w:val="left" w:pos="2966"/>
              </w:tabs>
              <w:spacing w:line="500" w:lineRule="exact"/>
              <w:jc w:val="left"/>
              <w:rPr>
                <w:rFonts w:ascii="宋体" w:hAnsi="宋体" w:eastAsia="宋体" w:cs="宋体"/>
                <w:color w:val="000000" w:themeColor="text1"/>
                <w:sz w:val="18"/>
                <w:szCs w:val="18"/>
                <w14:textFill>
                  <w14:solidFill>
                    <w14:schemeClr w14:val="tx1"/>
                  </w14:solidFill>
                </w14:textFill>
              </w:rPr>
            </w:pPr>
            <w:r>
              <w:rPr>
                <w:rFonts w:hint="eastAsia" w:ascii="宋体" w:hAnsi="宋体" w:eastAsia="宋体" w:cs="宋体"/>
                <w:b/>
                <w:bCs/>
                <w:color w:val="000000" w:themeColor="text1"/>
                <w:sz w:val="18"/>
                <w:szCs w:val="18"/>
                <w14:textFill>
                  <w14:solidFill>
                    <w14:schemeClr w14:val="tx1"/>
                  </w14:solidFill>
                </w14:textFill>
              </w:rPr>
              <w:t>注：本表所述复试比例为去除推免生源后的本次复试中能实际招收学生数量为标准，其对应的150%的数量的学生进入复试。</w:t>
            </w:r>
          </w:p>
        </w:tc>
      </w:tr>
    </w:tbl>
    <w:p w14:paraId="22398939">
      <w:pPr>
        <w:spacing w:before="156" w:beforeLines="50" w:after="156" w:afterLines="50" w:line="500" w:lineRule="exact"/>
        <w:rPr>
          <w:rFonts w:ascii="黑体" w:hAnsi="黑体" w:eastAsia="黑体" w:cs="黑体"/>
          <w:kern w:val="0"/>
          <w:sz w:val="32"/>
          <w:szCs w:val="32"/>
        </w:rPr>
      </w:pPr>
      <w:r>
        <w:rPr>
          <w:rFonts w:hint="eastAsia" w:ascii="黑体" w:hAnsi="黑体" w:eastAsia="黑体" w:cs="黑体"/>
          <w:kern w:val="0"/>
          <w:sz w:val="32"/>
          <w:szCs w:val="32"/>
        </w:rPr>
        <w:t>四、</w:t>
      </w:r>
      <w:r>
        <w:rPr>
          <w:rFonts w:hint="eastAsia" w:ascii="黑体" w:hAnsi="黑体" w:eastAsia="黑体" w:cs="黑体"/>
          <w:sz w:val="32"/>
          <w:szCs w:val="32"/>
        </w:rPr>
        <w:t>复试报到需要提交的材料及提交时间</w:t>
      </w:r>
    </w:p>
    <w:p w14:paraId="1AA1CFB8">
      <w:pPr>
        <w:autoSpaceDE w:val="0"/>
        <w:autoSpaceDN w:val="0"/>
        <w:adjustRightInd w:val="0"/>
        <w:spacing w:line="500" w:lineRule="exact"/>
        <w:rPr>
          <w:rFonts w:ascii="仿宋" w:hAnsi="仿宋" w:eastAsia="仿宋" w:cs="仿宋"/>
          <w:b/>
          <w:bCs/>
          <w:kern w:val="0"/>
          <w:sz w:val="32"/>
          <w:szCs w:val="32"/>
        </w:rPr>
      </w:pPr>
      <w:r>
        <w:rPr>
          <w:rFonts w:hint="eastAsia" w:ascii="仿宋" w:hAnsi="仿宋" w:eastAsia="仿宋" w:cs="仿宋"/>
          <w:b/>
          <w:bCs/>
          <w:kern w:val="0"/>
          <w:sz w:val="32"/>
          <w:szCs w:val="32"/>
        </w:rPr>
        <w:t>（一）资格审查时间及地点</w:t>
      </w:r>
    </w:p>
    <w:p w14:paraId="327A7B40">
      <w:pPr>
        <w:autoSpaceDE w:val="0"/>
        <w:autoSpaceDN w:val="0"/>
        <w:adjustRightInd w:val="0"/>
        <w:spacing w:line="500" w:lineRule="exact"/>
        <w:ind w:firstLine="640" w:firstLineChars="200"/>
        <w:rPr>
          <w:rFonts w:ascii="仿宋" w:hAnsi="仿宋" w:eastAsia="仿宋" w:cs="仿宋"/>
          <w:kern w:val="0"/>
          <w:sz w:val="32"/>
          <w:szCs w:val="32"/>
        </w:rPr>
      </w:pPr>
      <w:r>
        <w:rPr>
          <w:rFonts w:hint="eastAsia" w:ascii="仿宋" w:hAnsi="仿宋" w:eastAsia="仿宋" w:cs="仿宋"/>
          <w:kern w:val="0"/>
          <w:sz w:val="32"/>
          <w:szCs w:val="32"/>
        </w:rPr>
        <w:t>具有复试资格的考生持有关证件于2023年3月30日当天9:30—12:00；14:00—18:00在南昌大学法学楼模拟法庭中中进行现场确认,逾期不到者取消复试资格。学院在复试前将对考生材料进行严格审查核验，对不符合规定者，不予复试。</w:t>
      </w:r>
    </w:p>
    <w:p w14:paraId="2BC3482A">
      <w:pPr>
        <w:pStyle w:val="7"/>
        <w:spacing w:before="0" w:beforeAutospacing="0" w:after="0" w:afterAutospacing="0" w:line="500" w:lineRule="exact"/>
        <w:rPr>
          <w:rFonts w:ascii="仿宋" w:hAnsi="仿宋" w:eastAsia="仿宋" w:cs="仿宋"/>
          <w:sz w:val="32"/>
          <w:szCs w:val="32"/>
        </w:rPr>
      </w:pPr>
      <w:r>
        <w:rPr>
          <w:rFonts w:hint="eastAsia" w:ascii="仿宋" w:hAnsi="仿宋" w:eastAsia="仿宋" w:cs="仿宋"/>
          <w:b/>
          <w:bCs/>
          <w:sz w:val="32"/>
          <w:szCs w:val="32"/>
        </w:rPr>
        <w:t>（二）资格审查</w:t>
      </w:r>
    </w:p>
    <w:p w14:paraId="303B0A51">
      <w:pPr>
        <w:widowControl/>
        <w:spacing w:line="500" w:lineRule="exact"/>
        <w:ind w:firstLine="602" w:firstLineChars="200"/>
        <w:jc w:val="left"/>
        <w:rPr>
          <w:rFonts w:ascii="仿宋" w:hAnsi="仿宋" w:eastAsia="仿宋" w:cs="仿宋"/>
          <w:color w:val="000000"/>
          <w:kern w:val="0"/>
          <w:sz w:val="30"/>
          <w:szCs w:val="30"/>
          <w:lang w:bidi="ar"/>
        </w:rPr>
      </w:pPr>
      <w:r>
        <w:rPr>
          <w:rFonts w:hint="eastAsia" w:ascii="仿宋" w:hAnsi="仿宋" w:eastAsia="仿宋" w:cs="仿宋"/>
          <w:b/>
          <w:bCs/>
          <w:color w:val="000000"/>
          <w:kern w:val="0"/>
          <w:sz w:val="30"/>
          <w:szCs w:val="30"/>
          <w:lang w:bidi="ar"/>
        </w:rPr>
        <w:t>在</w:t>
      </w:r>
      <w:r>
        <w:rPr>
          <w:rFonts w:ascii="仿宋" w:hAnsi="仿宋" w:eastAsia="仿宋" w:cs="仿宋"/>
          <w:b/>
          <w:bCs/>
          <w:color w:val="000000"/>
          <w:kern w:val="0"/>
          <w:sz w:val="30"/>
          <w:szCs w:val="30"/>
          <w:lang w:bidi="ar"/>
        </w:rPr>
        <w:t>审查考生的报考资格</w:t>
      </w:r>
      <w:r>
        <w:rPr>
          <w:rFonts w:hint="eastAsia" w:ascii="仿宋" w:hAnsi="仿宋" w:eastAsia="仿宋" w:cs="仿宋"/>
          <w:b/>
          <w:bCs/>
          <w:color w:val="000000"/>
          <w:kern w:val="0"/>
          <w:sz w:val="30"/>
          <w:szCs w:val="30"/>
          <w:lang w:bidi="ar"/>
        </w:rPr>
        <w:t>时，将审查考生的以下材料</w:t>
      </w:r>
      <w:r>
        <w:rPr>
          <w:rFonts w:ascii="仿宋" w:hAnsi="仿宋" w:eastAsia="仿宋" w:cs="仿宋"/>
          <w:b/>
          <w:bCs/>
          <w:color w:val="000000"/>
          <w:kern w:val="0"/>
          <w:sz w:val="30"/>
          <w:szCs w:val="30"/>
          <w:lang w:bidi="ar"/>
        </w:rPr>
        <w:t>：</w:t>
      </w:r>
    </w:p>
    <w:p w14:paraId="5AD46C74">
      <w:pPr>
        <w:widowControl/>
        <w:spacing w:line="500" w:lineRule="exact"/>
        <w:jc w:val="left"/>
      </w:pPr>
      <w:r>
        <w:rPr>
          <w:rFonts w:hint="eastAsia" w:ascii="仿宋" w:hAnsi="仿宋" w:eastAsia="仿宋" w:cs="仿宋"/>
          <w:color w:val="000000"/>
          <w:kern w:val="0"/>
          <w:sz w:val="30"/>
          <w:szCs w:val="30"/>
          <w:lang w:bidi="ar"/>
        </w:rPr>
        <w:t>1</w:t>
      </w:r>
      <w:r>
        <w:rPr>
          <w:rFonts w:ascii="仿宋" w:hAnsi="仿宋" w:eastAsia="仿宋" w:cs="仿宋"/>
          <w:color w:val="000000"/>
          <w:kern w:val="0"/>
          <w:sz w:val="30"/>
          <w:szCs w:val="30"/>
          <w:lang w:bidi="ar"/>
        </w:rPr>
        <w:t>.《南昌大学2023年研究生招生思想政治品德考核表》（需提前审查盖章）。</w:t>
      </w:r>
    </w:p>
    <w:p w14:paraId="1BB897BA">
      <w:pPr>
        <w:widowControl/>
        <w:spacing w:line="500" w:lineRule="exact"/>
        <w:jc w:val="left"/>
        <w:rPr>
          <w:rFonts w:ascii="仿宋" w:hAnsi="仿宋" w:eastAsia="仿宋" w:cs="仿宋"/>
          <w:color w:val="000000"/>
          <w:kern w:val="0"/>
          <w:sz w:val="30"/>
          <w:szCs w:val="30"/>
          <w:lang w:bidi="ar"/>
        </w:rPr>
      </w:pPr>
      <w:r>
        <w:rPr>
          <w:rFonts w:ascii="仿宋" w:hAnsi="仿宋" w:eastAsia="仿宋" w:cs="仿宋"/>
          <w:color w:val="000000"/>
          <w:kern w:val="0"/>
          <w:sz w:val="30"/>
          <w:szCs w:val="30"/>
          <w:lang w:bidi="ar"/>
        </w:rPr>
        <w:t>2.</w:t>
      </w:r>
      <w:r>
        <w:rPr>
          <w:rFonts w:hint="eastAsia" w:ascii="仿宋" w:hAnsi="仿宋" w:eastAsia="仿宋" w:cs="仿宋"/>
          <w:color w:val="000000"/>
          <w:kern w:val="0"/>
          <w:sz w:val="30"/>
          <w:szCs w:val="30"/>
          <w:lang w:bidi="ar"/>
        </w:rPr>
        <w:t>应届本科毕业生：完整注册后的学生证（高校教务部门颁发的学生证）；学信网《教育部学籍在线验证报告》的打印件；所在学校学籍管理部门公章的成绩证明；《全日制应届本科毕业生证明》（填写完毕后加盖学籍管理部门公章）。</w:t>
      </w:r>
    </w:p>
    <w:p w14:paraId="739BB031">
      <w:pPr>
        <w:widowControl/>
        <w:spacing w:line="500" w:lineRule="exact"/>
        <w:jc w:val="left"/>
        <w:rPr>
          <w:rFonts w:ascii="仿宋" w:hAnsi="仿宋" w:eastAsia="仿宋" w:cs="仿宋"/>
          <w:color w:val="000000"/>
          <w:kern w:val="0"/>
          <w:sz w:val="30"/>
          <w:szCs w:val="30"/>
          <w:lang w:bidi="ar"/>
        </w:rPr>
      </w:pPr>
      <w:r>
        <w:rPr>
          <w:rFonts w:ascii="仿宋" w:hAnsi="仿宋" w:eastAsia="仿宋" w:cs="仿宋"/>
          <w:color w:val="000000"/>
          <w:kern w:val="0"/>
          <w:sz w:val="30"/>
          <w:szCs w:val="30"/>
          <w:lang w:bidi="ar"/>
        </w:rPr>
        <w:t>3.</w:t>
      </w:r>
      <w:r>
        <w:rPr>
          <w:rFonts w:hint="eastAsia" w:ascii="仿宋" w:hAnsi="仿宋" w:eastAsia="仿宋" w:cs="仿宋"/>
          <w:color w:val="000000"/>
          <w:kern w:val="0"/>
          <w:sz w:val="30"/>
          <w:szCs w:val="30"/>
          <w:lang w:bidi="ar"/>
        </w:rPr>
        <w:t>往届本科毕业生：本科毕业证书、学位证书原件；学信网《教育部学历证书电子注册备案表》的打印件；因毕业时间早而不能在线验证的，需提供学信网《中国高等教育学历认证报告》。</w:t>
      </w:r>
    </w:p>
    <w:p w14:paraId="78079D8C">
      <w:pPr>
        <w:widowControl/>
        <w:spacing w:line="500" w:lineRule="exact"/>
        <w:jc w:val="left"/>
        <w:rPr>
          <w:rFonts w:ascii="仿宋" w:hAnsi="仿宋" w:eastAsia="仿宋" w:cs="仿宋"/>
          <w:color w:val="000000"/>
          <w:kern w:val="0"/>
          <w:sz w:val="30"/>
          <w:szCs w:val="30"/>
          <w:lang w:bidi="ar"/>
        </w:rPr>
      </w:pPr>
      <w:r>
        <w:rPr>
          <w:rFonts w:ascii="仿宋" w:hAnsi="仿宋" w:eastAsia="仿宋" w:cs="仿宋"/>
          <w:color w:val="000000"/>
          <w:kern w:val="0"/>
          <w:sz w:val="30"/>
          <w:szCs w:val="30"/>
          <w:lang w:bidi="ar"/>
        </w:rPr>
        <w:t>4.</w:t>
      </w:r>
      <w:r>
        <w:rPr>
          <w:rFonts w:hint="eastAsia" w:ascii="仿宋" w:hAnsi="仿宋" w:eastAsia="仿宋" w:cs="仿宋"/>
          <w:color w:val="000000"/>
          <w:kern w:val="0"/>
          <w:sz w:val="30"/>
          <w:szCs w:val="30"/>
          <w:lang w:bidi="ar"/>
        </w:rPr>
        <w:t>同等学力考生：专科毕业证或本科结业证或成人高校应届本科生证明等，C类考生同时交验业绩材料的原件(详见我校招生简章。</w:t>
      </w:r>
    </w:p>
    <w:p w14:paraId="4842ECCA">
      <w:pPr>
        <w:widowControl/>
        <w:spacing w:line="500" w:lineRule="exact"/>
        <w:jc w:val="left"/>
        <w:rPr>
          <w:rFonts w:ascii="仿宋" w:hAnsi="仿宋" w:eastAsia="仿宋" w:cs="仿宋"/>
          <w:color w:val="000000"/>
          <w:kern w:val="0"/>
          <w:sz w:val="30"/>
          <w:szCs w:val="30"/>
          <w:lang w:bidi="ar"/>
        </w:rPr>
      </w:pPr>
      <w:r>
        <w:rPr>
          <w:rFonts w:ascii="仿宋" w:hAnsi="仿宋" w:eastAsia="仿宋" w:cs="仿宋"/>
          <w:color w:val="000000"/>
          <w:kern w:val="0"/>
          <w:sz w:val="30"/>
          <w:szCs w:val="30"/>
          <w:lang w:bidi="ar"/>
        </w:rPr>
        <w:t>5.</w:t>
      </w:r>
      <w:r>
        <w:rPr>
          <w:rFonts w:hint="eastAsia" w:ascii="仿宋" w:hAnsi="仿宋" w:eastAsia="仿宋" w:cs="仿宋"/>
          <w:color w:val="000000"/>
          <w:kern w:val="0"/>
          <w:sz w:val="30"/>
          <w:szCs w:val="30"/>
          <w:lang w:bidi="ar"/>
        </w:rPr>
        <w:t>身份证复印件（正反面，注明研招复试资格审查用，同时交验原件）。</w:t>
      </w:r>
    </w:p>
    <w:p w14:paraId="72262ACF">
      <w:pPr>
        <w:widowControl/>
        <w:spacing w:line="500" w:lineRule="exact"/>
        <w:jc w:val="left"/>
        <w:rPr>
          <w:rFonts w:ascii="仿宋" w:hAnsi="仿宋" w:eastAsia="仿宋" w:cs="仿宋"/>
          <w:color w:val="000000"/>
          <w:kern w:val="0"/>
          <w:sz w:val="30"/>
          <w:szCs w:val="30"/>
          <w:lang w:bidi="ar"/>
        </w:rPr>
      </w:pPr>
      <w:r>
        <w:rPr>
          <w:rFonts w:ascii="仿宋" w:hAnsi="仿宋" w:eastAsia="仿宋" w:cs="仿宋"/>
          <w:color w:val="000000"/>
          <w:kern w:val="0"/>
          <w:sz w:val="30"/>
          <w:szCs w:val="30"/>
          <w:lang w:bidi="ar"/>
        </w:rPr>
        <w:t>6.</w:t>
      </w:r>
      <w:r>
        <w:rPr>
          <w:rFonts w:hint="eastAsia" w:ascii="仿宋" w:hAnsi="仿宋" w:eastAsia="仿宋" w:cs="仿宋"/>
          <w:color w:val="000000"/>
          <w:kern w:val="0"/>
          <w:sz w:val="30"/>
          <w:szCs w:val="30"/>
          <w:lang w:bidi="ar"/>
        </w:rPr>
        <w:t>专项计划、享受加分政策考生的相关证明材料。</w:t>
      </w:r>
    </w:p>
    <w:p w14:paraId="201C9BD3">
      <w:pPr>
        <w:widowControl/>
        <w:spacing w:line="500" w:lineRule="exact"/>
        <w:jc w:val="left"/>
        <w:rPr>
          <w:rFonts w:ascii="仿宋" w:hAnsi="仿宋" w:eastAsia="仿宋" w:cs="仿宋"/>
          <w:color w:val="000000"/>
          <w:kern w:val="0"/>
          <w:sz w:val="30"/>
          <w:szCs w:val="30"/>
          <w:lang w:bidi="ar"/>
        </w:rPr>
      </w:pPr>
      <w:r>
        <w:rPr>
          <w:rFonts w:ascii="仿宋" w:hAnsi="仿宋" w:eastAsia="仿宋" w:cs="仿宋"/>
          <w:color w:val="000000"/>
          <w:kern w:val="0"/>
          <w:sz w:val="30"/>
          <w:szCs w:val="30"/>
          <w:lang w:bidi="ar"/>
        </w:rPr>
        <w:t>7.</w:t>
      </w:r>
      <w:r>
        <w:rPr>
          <w:rFonts w:hint="eastAsia" w:ascii="仿宋" w:hAnsi="仿宋" w:eastAsia="仿宋" w:cs="仿宋"/>
          <w:color w:val="000000"/>
          <w:kern w:val="0"/>
          <w:sz w:val="30"/>
          <w:szCs w:val="30"/>
          <w:lang w:bidi="ar"/>
        </w:rPr>
        <w:t>复试资格审查单。以上有关材料除(1)必须是原件外，都需要提交复印件或打印件（包括有效身份证件），且统一用A4纸复印，并上交。</w:t>
      </w:r>
    </w:p>
    <w:p w14:paraId="7401D08C">
      <w:pPr>
        <w:widowControl/>
        <w:spacing w:line="500" w:lineRule="exact"/>
        <w:jc w:val="left"/>
        <w:rPr>
          <w:rFonts w:ascii="仿宋" w:hAnsi="仿宋" w:eastAsia="仿宋" w:cs="仿宋"/>
          <w:b/>
          <w:bCs/>
          <w:color w:val="000000"/>
          <w:kern w:val="0"/>
          <w:sz w:val="30"/>
          <w:szCs w:val="30"/>
          <w:lang w:bidi="ar"/>
        </w:rPr>
      </w:pPr>
      <w:r>
        <w:rPr>
          <w:rFonts w:hint="eastAsia" w:ascii="仿宋" w:hAnsi="仿宋" w:eastAsia="仿宋" w:cs="仿宋"/>
          <w:b/>
          <w:bCs/>
          <w:color w:val="000000"/>
          <w:kern w:val="0"/>
          <w:sz w:val="30"/>
          <w:szCs w:val="30"/>
          <w:lang w:bidi="ar"/>
        </w:rPr>
        <w:t>（二）发放复试准考证等</w:t>
      </w:r>
    </w:p>
    <w:p w14:paraId="3F6A29A6">
      <w:pPr>
        <w:widowControl/>
        <w:spacing w:line="500" w:lineRule="exact"/>
        <w:ind w:firstLine="600" w:firstLineChars="200"/>
        <w:jc w:val="left"/>
      </w:pPr>
      <w:r>
        <w:rPr>
          <w:rFonts w:ascii="仿宋" w:hAnsi="仿宋" w:eastAsia="仿宋" w:cs="仿宋"/>
          <w:color w:val="000000"/>
          <w:sz w:val="30"/>
          <w:szCs w:val="30"/>
        </w:rPr>
        <w:t>经确认考生复试资格审查合格，且已缴纳复试费，学院发放复试准考证、体检表等。</w:t>
      </w:r>
    </w:p>
    <w:p w14:paraId="169AD8A9">
      <w:pPr>
        <w:spacing w:line="500" w:lineRule="exact"/>
        <w:rPr>
          <w:rFonts w:ascii="黑体" w:hAnsi="黑体" w:eastAsia="黑体" w:cs="黑体"/>
          <w:b/>
          <w:bCs/>
          <w:sz w:val="32"/>
          <w:szCs w:val="32"/>
        </w:rPr>
      </w:pPr>
      <w:r>
        <w:rPr>
          <w:rFonts w:hint="eastAsia" w:ascii="黑体" w:hAnsi="黑体" w:eastAsia="黑体" w:cs="黑体"/>
          <w:b/>
          <w:bCs/>
          <w:sz w:val="32"/>
          <w:szCs w:val="32"/>
        </w:rPr>
        <w:t>五、复试要求</w:t>
      </w:r>
    </w:p>
    <w:p w14:paraId="5AF16839">
      <w:pPr>
        <w:pStyle w:val="7"/>
        <w:spacing w:before="0" w:beforeAutospacing="0" w:after="0" w:afterAutospacing="0" w:line="500" w:lineRule="exact"/>
        <w:jc w:val="both"/>
        <w:rPr>
          <w:rFonts w:ascii="仿宋" w:hAnsi="仿宋" w:eastAsia="仿宋" w:cs="仿宋"/>
          <w:b/>
          <w:bCs/>
          <w:sz w:val="32"/>
          <w:szCs w:val="32"/>
        </w:rPr>
      </w:pPr>
      <w:r>
        <w:rPr>
          <w:rFonts w:hint="eastAsia" w:ascii="仿宋" w:hAnsi="仿宋" w:eastAsia="仿宋" w:cs="仿宋"/>
          <w:b/>
          <w:bCs/>
          <w:sz w:val="32"/>
          <w:szCs w:val="32"/>
        </w:rPr>
        <w:t>（一）复试方式</w:t>
      </w:r>
    </w:p>
    <w:p w14:paraId="1FBA8199">
      <w:pPr>
        <w:pStyle w:val="7"/>
        <w:spacing w:before="0" w:beforeAutospacing="0" w:after="0" w:afterAutospacing="0" w:line="500" w:lineRule="exact"/>
        <w:ind w:firstLine="643" w:firstLineChars="200"/>
        <w:jc w:val="both"/>
        <w:rPr>
          <w:rFonts w:ascii="仿宋" w:hAnsi="仿宋" w:eastAsia="仿宋" w:cs="仿宋"/>
          <w:b/>
          <w:bCs/>
          <w:kern w:val="2"/>
          <w:sz w:val="32"/>
          <w:szCs w:val="32"/>
        </w:rPr>
      </w:pPr>
      <w:r>
        <w:rPr>
          <w:rFonts w:hint="eastAsia" w:ascii="仿宋" w:hAnsi="仿宋" w:eastAsia="仿宋" w:cs="仿宋"/>
          <w:b/>
          <w:bCs/>
          <w:kern w:val="2"/>
          <w:sz w:val="32"/>
          <w:szCs w:val="32"/>
        </w:rPr>
        <w:t>采用现场线下复试的方式。</w:t>
      </w:r>
      <w:r>
        <w:rPr>
          <w:rFonts w:ascii="仿宋" w:hAnsi="仿宋" w:eastAsia="仿宋" w:cs="仿宋"/>
          <w:color w:val="000000"/>
          <w:sz w:val="30"/>
          <w:szCs w:val="30"/>
        </w:rPr>
        <w:t>复试</w:t>
      </w:r>
      <w:r>
        <w:rPr>
          <w:rFonts w:hint="eastAsia" w:ascii="仿宋" w:hAnsi="仿宋" w:eastAsia="仿宋" w:cs="仿宋"/>
          <w:color w:val="000000"/>
          <w:sz w:val="30"/>
          <w:szCs w:val="30"/>
        </w:rPr>
        <w:t>为</w:t>
      </w:r>
      <w:r>
        <w:rPr>
          <w:rFonts w:ascii="仿宋" w:hAnsi="仿宋" w:eastAsia="仿宋" w:cs="仿宋"/>
          <w:color w:val="000000"/>
          <w:sz w:val="30"/>
          <w:szCs w:val="30"/>
        </w:rPr>
        <w:t>笔试和面试形式相结合。笔试包括:专业课笔试、同等学力考生加试科目；面试包括:专业综合素质面试、外语口语与听力测试。专业课笔试、专业素质综合面试、同等学力考生加试等科目及格分均为60分，任一科目不及格者不予录取。</w:t>
      </w:r>
    </w:p>
    <w:p w14:paraId="005C7D78">
      <w:pPr>
        <w:pStyle w:val="7"/>
        <w:spacing w:before="0" w:beforeAutospacing="0" w:after="0" w:afterAutospacing="0" w:line="500" w:lineRule="exact"/>
        <w:jc w:val="both"/>
        <w:rPr>
          <w:rFonts w:ascii="仿宋" w:hAnsi="仿宋" w:eastAsia="仿宋" w:cs="仿宋"/>
          <w:b/>
          <w:bCs/>
          <w:sz w:val="32"/>
          <w:szCs w:val="32"/>
        </w:rPr>
      </w:pPr>
      <w:r>
        <w:rPr>
          <w:rFonts w:hint="eastAsia" w:ascii="仿宋" w:hAnsi="仿宋" w:eastAsia="仿宋" w:cs="仿宋"/>
          <w:b/>
          <w:bCs/>
          <w:sz w:val="32"/>
          <w:szCs w:val="32"/>
        </w:rPr>
        <w:t>（二）复试时间及地点</w:t>
      </w:r>
    </w:p>
    <w:tbl>
      <w:tblPr>
        <w:tblStyle w:val="9"/>
        <w:tblpPr w:leftFromText="180" w:rightFromText="180" w:vertAnchor="text" w:horzAnchor="page" w:tblpX="1905" w:tblpY="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275"/>
        <w:gridCol w:w="1360"/>
        <w:gridCol w:w="2027"/>
        <w:gridCol w:w="1797"/>
        <w:gridCol w:w="724"/>
      </w:tblGrid>
      <w:tr w14:paraId="2F22B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1339" w:type="dxa"/>
            <w:shd w:val="clear" w:color="auto" w:fill="auto"/>
          </w:tcPr>
          <w:p w14:paraId="1E0E6134">
            <w:pPr>
              <w:pStyle w:val="7"/>
              <w:spacing w:before="0" w:beforeAutospacing="0" w:after="0" w:afterAutospacing="0" w:line="500" w:lineRule="exact"/>
              <w:jc w:val="center"/>
              <w:rPr>
                <w:rFonts w:ascii="黑体" w:hAnsi="黑体" w:eastAsia="黑体" w:cs="仿宋"/>
                <w:b/>
                <w:bCs/>
              </w:rPr>
            </w:pPr>
            <w:r>
              <w:rPr>
                <w:rFonts w:hint="eastAsia" w:ascii="黑体" w:hAnsi="黑体" w:eastAsia="黑体" w:cs="仿宋"/>
                <w:b/>
                <w:bCs/>
              </w:rPr>
              <w:t>专业代码</w:t>
            </w:r>
          </w:p>
        </w:tc>
        <w:tc>
          <w:tcPr>
            <w:tcW w:w="1275" w:type="dxa"/>
            <w:shd w:val="clear" w:color="auto" w:fill="auto"/>
          </w:tcPr>
          <w:p w14:paraId="36174887">
            <w:pPr>
              <w:pStyle w:val="7"/>
              <w:spacing w:before="0" w:beforeAutospacing="0" w:after="0" w:afterAutospacing="0" w:line="500" w:lineRule="exact"/>
              <w:jc w:val="center"/>
              <w:rPr>
                <w:rFonts w:ascii="黑体" w:hAnsi="黑体" w:eastAsia="黑体" w:cs="仿宋"/>
                <w:b/>
                <w:bCs/>
              </w:rPr>
            </w:pPr>
            <w:r>
              <w:rPr>
                <w:rFonts w:hint="eastAsia" w:ascii="黑体" w:hAnsi="黑体" w:eastAsia="黑体" w:cs="仿宋"/>
                <w:b/>
                <w:bCs/>
              </w:rPr>
              <w:t>专业</w:t>
            </w:r>
          </w:p>
        </w:tc>
        <w:tc>
          <w:tcPr>
            <w:tcW w:w="1360" w:type="dxa"/>
            <w:shd w:val="clear" w:color="auto" w:fill="auto"/>
          </w:tcPr>
          <w:p w14:paraId="29C32C53">
            <w:pPr>
              <w:pStyle w:val="7"/>
              <w:spacing w:before="0" w:beforeAutospacing="0" w:after="0" w:afterAutospacing="0" w:line="500" w:lineRule="exact"/>
              <w:jc w:val="center"/>
              <w:rPr>
                <w:rFonts w:ascii="黑体" w:hAnsi="黑体" w:eastAsia="黑体" w:cs="仿宋"/>
                <w:b/>
                <w:bCs/>
              </w:rPr>
            </w:pPr>
            <w:r>
              <w:rPr>
                <w:rFonts w:hint="eastAsia" w:ascii="黑体" w:hAnsi="黑体" w:eastAsia="黑体" w:cs="仿宋"/>
                <w:b/>
                <w:bCs/>
              </w:rPr>
              <w:t>研究方向</w:t>
            </w:r>
          </w:p>
        </w:tc>
        <w:tc>
          <w:tcPr>
            <w:tcW w:w="2027" w:type="dxa"/>
            <w:shd w:val="clear" w:color="auto" w:fill="auto"/>
          </w:tcPr>
          <w:p w14:paraId="1772BE2F">
            <w:pPr>
              <w:pStyle w:val="7"/>
              <w:spacing w:before="0" w:beforeAutospacing="0" w:after="0" w:afterAutospacing="0" w:line="500" w:lineRule="exact"/>
              <w:jc w:val="center"/>
              <w:rPr>
                <w:rFonts w:ascii="黑体" w:hAnsi="黑体" w:eastAsia="黑体" w:cs="仿宋"/>
                <w:b/>
                <w:bCs/>
              </w:rPr>
            </w:pPr>
            <w:r>
              <w:rPr>
                <w:rFonts w:hint="eastAsia" w:ascii="黑体" w:hAnsi="黑体" w:eastAsia="黑体" w:cs="仿宋"/>
                <w:b/>
                <w:bCs/>
              </w:rPr>
              <w:t>复试内容</w:t>
            </w:r>
          </w:p>
        </w:tc>
        <w:tc>
          <w:tcPr>
            <w:tcW w:w="1797" w:type="dxa"/>
            <w:shd w:val="clear" w:color="auto" w:fill="auto"/>
          </w:tcPr>
          <w:p w14:paraId="58FFEC87">
            <w:pPr>
              <w:pStyle w:val="7"/>
              <w:spacing w:before="0" w:beforeAutospacing="0" w:after="0" w:afterAutospacing="0" w:line="500" w:lineRule="exact"/>
              <w:jc w:val="center"/>
              <w:rPr>
                <w:rFonts w:ascii="黑体" w:hAnsi="黑体" w:eastAsia="黑体" w:cs="仿宋"/>
                <w:b/>
                <w:bCs/>
              </w:rPr>
            </w:pPr>
            <w:r>
              <w:rPr>
                <w:rFonts w:hint="eastAsia" w:ascii="黑体" w:hAnsi="黑体" w:eastAsia="黑体" w:cs="仿宋"/>
                <w:b/>
                <w:bCs/>
              </w:rPr>
              <w:t>时间</w:t>
            </w:r>
          </w:p>
        </w:tc>
        <w:tc>
          <w:tcPr>
            <w:tcW w:w="724" w:type="dxa"/>
            <w:shd w:val="clear" w:color="auto" w:fill="auto"/>
          </w:tcPr>
          <w:p w14:paraId="042051EC">
            <w:pPr>
              <w:pStyle w:val="7"/>
              <w:spacing w:before="0" w:beforeAutospacing="0" w:after="0" w:afterAutospacing="0" w:line="500" w:lineRule="exact"/>
              <w:jc w:val="center"/>
              <w:rPr>
                <w:rFonts w:ascii="黑体" w:hAnsi="黑体" w:eastAsia="黑体" w:cs="仿宋"/>
                <w:b/>
                <w:bCs/>
              </w:rPr>
            </w:pPr>
            <w:r>
              <w:rPr>
                <w:rFonts w:hint="eastAsia" w:ascii="黑体" w:hAnsi="黑体" w:eastAsia="黑体" w:cs="仿宋"/>
                <w:b/>
                <w:bCs/>
              </w:rPr>
              <w:t>备注</w:t>
            </w:r>
          </w:p>
        </w:tc>
      </w:tr>
      <w:tr w14:paraId="378A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339" w:type="dxa"/>
            <w:vMerge w:val="restart"/>
            <w:shd w:val="clear" w:color="auto" w:fill="auto"/>
          </w:tcPr>
          <w:p w14:paraId="57045804">
            <w:pPr>
              <w:widowControl/>
              <w:spacing w:line="500" w:lineRule="exact"/>
              <w:jc w:val="center"/>
              <w:textAlignment w:val="center"/>
              <w:rPr>
                <w:rFonts w:ascii="仿宋" w:hAnsi="仿宋" w:eastAsia="仿宋" w:cs="仿宋"/>
                <w:szCs w:val="21"/>
              </w:rPr>
            </w:pPr>
            <w:r>
              <w:rPr>
                <w:rFonts w:hint="eastAsia" w:ascii="宋体" w:hAnsi="宋体" w:eastAsia="宋体" w:cs="宋体"/>
                <w:kern w:val="0"/>
                <w:sz w:val="20"/>
                <w:szCs w:val="20"/>
                <w:lang w:bidi="ar"/>
              </w:rPr>
              <w:t>0301</w:t>
            </w:r>
          </w:p>
        </w:tc>
        <w:tc>
          <w:tcPr>
            <w:tcW w:w="1275" w:type="dxa"/>
            <w:vMerge w:val="restart"/>
            <w:shd w:val="clear" w:color="auto" w:fill="auto"/>
          </w:tcPr>
          <w:p w14:paraId="225049F0">
            <w:pPr>
              <w:widowControl/>
              <w:spacing w:line="500" w:lineRule="exact"/>
              <w:jc w:val="center"/>
              <w:textAlignment w:val="center"/>
              <w:rPr>
                <w:rFonts w:ascii="仿宋" w:hAnsi="仿宋" w:eastAsia="仿宋" w:cs="仿宋"/>
                <w:szCs w:val="21"/>
              </w:rPr>
            </w:pPr>
            <w:r>
              <w:rPr>
                <w:rFonts w:hint="eastAsia" w:ascii="宋体" w:hAnsi="宋体" w:eastAsia="宋体" w:cs="宋体"/>
                <w:kern w:val="0"/>
                <w:sz w:val="20"/>
                <w:szCs w:val="20"/>
                <w:lang w:bidi="ar"/>
              </w:rPr>
              <w:t>法学</w:t>
            </w:r>
          </w:p>
        </w:tc>
        <w:tc>
          <w:tcPr>
            <w:tcW w:w="1360" w:type="dxa"/>
            <w:shd w:val="clear" w:color="auto" w:fill="auto"/>
          </w:tcPr>
          <w:p w14:paraId="6E36EF6B">
            <w:pPr>
              <w:widowControl/>
              <w:spacing w:line="500" w:lineRule="exact"/>
              <w:jc w:val="left"/>
              <w:textAlignment w:val="center"/>
              <w:rPr>
                <w:rFonts w:ascii="仿宋" w:hAnsi="仿宋" w:eastAsia="仿宋" w:cs="仿宋"/>
                <w:szCs w:val="21"/>
              </w:rPr>
            </w:pPr>
            <w:r>
              <w:rPr>
                <w:rFonts w:hint="eastAsia" w:ascii="宋体" w:hAnsi="宋体" w:eastAsia="宋体" w:cs="宋体"/>
                <w:kern w:val="0"/>
                <w:sz w:val="20"/>
                <w:szCs w:val="20"/>
                <w:lang w:bidi="ar"/>
              </w:rPr>
              <w:t>法律史</w:t>
            </w:r>
          </w:p>
        </w:tc>
        <w:tc>
          <w:tcPr>
            <w:tcW w:w="2027" w:type="dxa"/>
            <w:shd w:val="clear" w:color="auto" w:fill="auto"/>
          </w:tcPr>
          <w:p w14:paraId="6F285AA2">
            <w:pPr>
              <w:pStyle w:val="7"/>
              <w:spacing w:before="0" w:beforeAutospacing="0" w:after="0" w:afterAutospacing="0" w:line="500" w:lineRule="exact"/>
              <w:rPr>
                <w:rFonts w:cs="仿宋" w:asciiTheme="minorEastAsia" w:hAnsiTheme="minorEastAsia" w:eastAsiaTheme="minorEastAsia"/>
                <w:sz w:val="21"/>
                <w:szCs w:val="21"/>
              </w:rPr>
            </w:pPr>
            <w:r>
              <w:rPr>
                <w:rFonts w:hint="eastAsia" w:cs="微软雅黑" w:asciiTheme="minorEastAsia" w:hAnsiTheme="minorEastAsia" w:eastAsiaTheme="minorEastAsia"/>
                <w:sz w:val="21"/>
                <w:szCs w:val="21"/>
                <w:shd w:val="clear" w:color="auto" w:fill="FFFFFF"/>
              </w:rPr>
              <w:t>复试科目：①001001法律史综合同等学力加试科目：①1001001刑法学；②1001002中国宪法</w:t>
            </w:r>
          </w:p>
        </w:tc>
        <w:tc>
          <w:tcPr>
            <w:tcW w:w="1797" w:type="dxa"/>
            <w:vMerge w:val="restart"/>
            <w:shd w:val="clear" w:color="auto" w:fill="auto"/>
          </w:tcPr>
          <w:p w14:paraId="3AB886AF">
            <w:pPr>
              <w:spacing w:line="500" w:lineRule="exact"/>
              <w:jc w:val="left"/>
              <w:rPr>
                <w:rFonts w:ascii="仿宋" w:hAnsi="仿宋" w:eastAsia="仿宋" w:cs="仿宋"/>
                <w:szCs w:val="21"/>
              </w:rPr>
            </w:pPr>
            <w:r>
              <w:rPr>
                <w:rFonts w:hint="eastAsia" w:ascii="仿宋" w:hAnsi="仿宋" w:eastAsia="仿宋" w:cs="仿宋"/>
                <w:b/>
                <w:bCs/>
                <w:szCs w:val="21"/>
              </w:rPr>
              <w:t>专业基础笔试：</w:t>
            </w:r>
            <w:r>
              <w:rPr>
                <w:rFonts w:hint="eastAsia" w:ascii="仿宋" w:hAnsi="仿宋" w:eastAsia="仿宋" w:cs="仿宋"/>
                <w:szCs w:val="21"/>
              </w:rPr>
              <w:t>3月31日下午14：00开始；</w:t>
            </w:r>
          </w:p>
          <w:p w14:paraId="5B32E0DC">
            <w:pPr>
              <w:spacing w:line="500" w:lineRule="exact"/>
              <w:jc w:val="left"/>
              <w:rPr>
                <w:rFonts w:ascii="仿宋" w:hAnsi="仿宋" w:eastAsia="仿宋" w:cs="仿宋"/>
                <w:szCs w:val="21"/>
              </w:rPr>
            </w:pPr>
            <w:r>
              <w:rPr>
                <w:rFonts w:hint="eastAsia" w:ascii="仿宋" w:hAnsi="仿宋" w:eastAsia="仿宋" w:cs="仿宋"/>
                <w:b/>
                <w:bCs/>
                <w:szCs w:val="21"/>
              </w:rPr>
              <w:t>英语</w:t>
            </w:r>
            <w:r>
              <w:rPr>
                <w:rFonts w:hint="eastAsia" w:ascii="仿宋" w:hAnsi="仿宋" w:eastAsia="仿宋" w:cs="仿宋"/>
                <w:b/>
                <w:bCs/>
                <w:szCs w:val="21"/>
                <w:lang w:eastAsia="zh-CN"/>
              </w:rPr>
              <w:t>听力</w:t>
            </w:r>
            <w:r>
              <w:rPr>
                <w:rFonts w:hint="eastAsia" w:ascii="仿宋" w:hAnsi="仿宋" w:eastAsia="仿宋" w:cs="仿宋"/>
                <w:b/>
                <w:bCs/>
                <w:szCs w:val="21"/>
              </w:rPr>
              <w:t>口语复试：</w:t>
            </w:r>
            <w:r>
              <w:rPr>
                <w:rFonts w:hint="eastAsia" w:ascii="仿宋" w:hAnsi="仿宋" w:eastAsia="仿宋" w:cs="仿宋"/>
                <w:szCs w:val="21"/>
              </w:rPr>
              <w:t>4月1日上午8：30开始；</w:t>
            </w:r>
          </w:p>
          <w:p w14:paraId="15A76380">
            <w:pPr>
              <w:spacing w:line="500" w:lineRule="exact"/>
              <w:jc w:val="left"/>
              <w:rPr>
                <w:rFonts w:ascii="仿宋" w:hAnsi="仿宋" w:eastAsia="仿宋" w:cs="仿宋"/>
                <w:sz w:val="22"/>
              </w:rPr>
            </w:pPr>
            <w:r>
              <w:rPr>
                <w:rFonts w:hint="eastAsia" w:ascii="仿宋" w:hAnsi="仿宋" w:eastAsia="仿宋" w:cs="仿宋"/>
                <w:b/>
                <w:bCs/>
                <w:szCs w:val="21"/>
              </w:rPr>
              <w:t>综合素质面试</w:t>
            </w:r>
            <w:r>
              <w:rPr>
                <w:rFonts w:hint="eastAsia" w:ascii="仿宋" w:hAnsi="仿宋" w:eastAsia="仿宋" w:cs="仿宋"/>
                <w:b/>
                <w:bCs/>
                <w:szCs w:val="21"/>
                <w:lang w:eastAsia="zh-CN"/>
              </w:rPr>
              <w:t>：</w:t>
            </w:r>
            <w:r>
              <w:rPr>
                <w:rFonts w:hint="eastAsia" w:ascii="仿宋" w:hAnsi="仿宋" w:eastAsia="仿宋" w:cs="仿宋"/>
                <w:szCs w:val="21"/>
              </w:rPr>
              <w:t>4月2日上午8:30开始</w:t>
            </w:r>
          </w:p>
        </w:tc>
        <w:tc>
          <w:tcPr>
            <w:tcW w:w="724" w:type="dxa"/>
            <w:shd w:val="clear" w:color="auto" w:fill="auto"/>
          </w:tcPr>
          <w:p w14:paraId="616E6CB3">
            <w:pPr>
              <w:pStyle w:val="7"/>
              <w:spacing w:before="0" w:beforeAutospacing="0" w:after="0" w:afterAutospacing="0" w:line="500" w:lineRule="exact"/>
              <w:rPr>
                <w:rFonts w:ascii="仿宋" w:hAnsi="仿宋" w:eastAsia="仿宋" w:cs="仿宋"/>
                <w:sz w:val="21"/>
                <w:szCs w:val="21"/>
              </w:rPr>
            </w:pPr>
          </w:p>
        </w:tc>
      </w:tr>
      <w:tr w14:paraId="6BD9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Merge w:val="continue"/>
            <w:shd w:val="clear" w:color="auto" w:fill="auto"/>
            <w:vAlign w:val="center"/>
          </w:tcPr>
          <w:p w14:paraId="093F11EB">
            <w:pPr>
              <w:spacing w:line="500" w:lineRule="exact"/>
              <w:jc w:val="center"/>
              <w:textAlignment w:val="center"/>
              <w:rPr>
                <w:rFonts w:ascii="仿宋" w:hAnsi="仿宋" w:eastAsia="仿宋" w:cs="仿宋"/>
                <w:szCs w:val="21"/>
              </w:rPr>
            </w:pPr>
          </w:p>
        </w:tc>
        <w:tc>
          <w:tcPr>
            <w:tcW w:w="1275" w:type="dxa"/>
            <w:vMerge w:val="continue"/>
            <w:shd w:val="clear" w:color="auto" w:fill="auto"/>
            <w:vAlign w:val="center"/>
          </w:tcPr>
          <w:p w14:paraId="18291963">
            <w:pPr>
              <w:spacing w:line="500" w:lineRule="exact"/>
              <w:jc w:val="left"/>
              <w:textAlignment w:val="center"/>
              <w:rPr>
                <w:rFonts w:ascii="仿宋" w:hAnsi="仿宋" w:eastAsia="仿宋" w:cs="仿宋"/>
                <w:szCs w:val="21"/>
              </w:rPr>
            </w:pPr>
          </w:p>
        </w:tc>
        <w:tc>
          <w:tcPr>
            <w:tcW w:w="1360" w:type="dxa"/>
            <w:shd w:val="clear" w:color="auto" w:fill="auto"/>
          </w:tcPr>
          <w:p w14:paraId="08849A69">
            <w:pPr>
              <w:widowControl/>
              <w:spacing w:line="500" w:lineRule="exact"/>
              <w:jc w:val="left"/>
              <w:textAlignment w:val="center"/>
              <w:rPr>
                <w:rFonts w:ascii="仿宋" w:hAnsi="仿宋" w:eastAsia="仿宋" w:cs="仿宋"/>
                <w:szCs w:val="21"/>
              </w:rPr>
            </w:pPr>
            <w:r>
              <w:rPr>
                <w:rFonts w:hint="eastAsia" w:ascii="宋体" w:hAnsi="宋体" w:eastAsia="宋体" w:cs="宋体"/>
                <w:kern w:val="0"/>
                <w:sz w:val="20"/>
                <w:szCs w:val="20"/>
                <w:lang w:bidi="ar"/>
              </w:rPr>
              <w:t>宪法学与行政法学</w:t>
            </w:r>
          </w:p>
        </w:tc>
        <w:tc>
          <w:tcPr>
            <w:tcW w:w="2027" w:type="dxa"/>
            <w:shd w:val="clear" w:color="auto" w:fill="auto"/>
          </w:tcPr>
          <w:p w14:paraId="1596CF07">
            <w:pPr>
              <w:pStyle w:val="7"/>
              <w:spacing w:before="0" w:beforeAutospacing="0" w:after="0" w:afterAutospacing="0" w:line="500" w:lineRule="exact"/>
              <w:rPr>
                <w:rFonts w:cs="仿宋" w:asciiTheme="minorEastAsia" w:hAnsiTheme="minorEastAsia" w:eastAsiaTheme="minorEastAsia"/>
                <w:sz w:val="21"/>
                <w:szCs w:val="21"/>
              </w:rPr>
            </w:pPr>
            <w:r>
              <w:rPr>
                <w:rFonts w:cs="微软雅黑" w:asciiTheme="minorEastAsia" w:hAnsiTheme="minorEastAsia" w:eastAsiaTheme="minorEastAsia"/>
                <w:sz w:val="21"/>
                <w:szCs w:val="21"/>
                <w:shd w:val="clear" w:color="auto" w:fill="FFFFFF"/>
              </w:rPr>
              <w:t>复试科目：①001002宪法与行政法学综合</w:t>
            </w:r>
          </w:p>
        </w:tc>
        <w:tc>
          <w:tcPr>
            <w:tcW w:w="1797" w:type="dxa"/>
            <w:vMerge w:val="continue"/>
            <w:shd w:val="clear" w:color="auto" w:fill="auto"/>
          </w:tcPr>
          <w:p w14:paraId="6FB340CA">
            <w:pPr>
              <w:spacing w:line="500" w:lineRule="exact"/>
              <w:jc w:val="left"/>
            </w:pPr>
          </w:p>
        </w:tc>
        <w:tc>
          <w:tcPr>
            <w:tcW w:w="724" w:type="dxa"/>
            <w:shd w:val="clear" w:color="auto" w:fill="auto"/>
          </w:tcPr>
          <w:p w14:paraId="6E1409A1">
            <w:pPr>
              <w:spacing w:line="500" w:lineRule="exact"/>
              <w:jc w:val="left"/>
              <w:rPr>
                <w:rFonts w:ascii="仿宋" w:hAnsi="仿宋" w:eastAsia="仿宋" w:cs="仿宋"/>
                <w:szCs w:val="21"/>
              </w:rPr>
            </w:pPr>
          </w:p>
        </w:tc>
      </w:tr>
      <w:tr w14:paraId="0190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Merge w:val="continue"/>
            <w:shd w:val="clear" w:color="auto" w:fill="auto"/>
            <w:vAlign w:val="center"/>
          </w:tcPr>
          <w:p w14:paraId="5CED6678">
            <w:pPr>
              <w:spacing w:line="500" w:lineRule="exact"/>
              <w:jc w:val="center"/>
              <w:textAlignment w:val="center"/>
              <w:rPr>
                <w:rFonts w:ascii="仿宋" w:hAnsi="仿宋" w:eastAsia="仿宋" w:cs="仿宋"/>
                <w:szCs w:val="21"/>
              </w:rPr>
            </w:pPr>
          </w:p>
        </w:tc>
        <w:tc>
          <w:tcPr>
            <w:tcW w:w="1275" w:type="dxa"/>
            <w:vMerge w:val="continue"/>
            <w:shd w:val="clear" w:color="auto" w:fill="auto"/>
            <w:vAlign w:val="center"/>
          </w:tcPr>
          <w:p w14:paraId="073273D0">
            <w:pPr>
              <w:spacing w:line="500" w:lineRule="exact"/>
              <w:jc w:val="left"/>
              <w:textAlignment w:val="center"/>
              <w:rPr>
                <w:rFonts w:ascii="仿宋" w:hAnsi="仿宋" w:eastAsia="仿宋" w:cs="仿宋"/>
                <w:szCs w:val="21"/>
              </w:rPr>
            </w:pPr>
          </w:p>
        </w:tc>
        <w:tc>
          <w:tcPr>
            <w:tcW w:w="1360" w:type="dxa"/>
            <w:shd w:val="clear" w:color="auto" w:fill="auto"/>
          </w:tcPr>
          <w:p w14:paraId="65432400">
            <w:pPr>
              <w:widowControl/>
              <w:spacing w:line="500" w:lineRule="exact"/>
              <w:jc w:val="left"/>
              <w:textAlignment w:val="center"/>
              <w:rPr>
                <w:rFonts w:ascii="仿宋" w:hAnsi="仿宋" w:eastAsia="仿宋" w:cs="仿宋"/>
                <w:szCs w:val="21"/>
              </w:rPr>
            </w:pPr>
            <w:r>
              <w:rPr>
                <w:rFonts w:hint="eastAsia" w:ascii="宋体" w:hAnsi="宋体" w:eastAsia="宋体" w:cs="宋体"/>
                <w:kern w:val="0"/>
                <w:sz w:val="20"/>
                <w:szCs w:val="20"/>
                <w:lang w:bidi="ar"/>
              </w:rPr>
              <w:t>刑法学</w:t>
            </w:r>
          </w:p>
        </w:tc>
        <w:tc>
          <w:tcPr>
            <w:tcW w:w="2027" w:type="dxa"/>
            <w:shd w:val="clear" w:color="auto" w:fill="auto"/>
          </w:tcPr>
          <w:p w14:paraId="611BA515">
            <w:pPr>
              <w:pStyle w:val="7"/>
              <w:spacing w:before="0" w:beforeAutospacing="0" w:after="0" w:afterAutospacing="0" w:line="500" w:lineRule="exact"/>
              <w:rPr>
                <w:rFonts w:cs="仿宋" w:asciiTheme="minorEastAsia" w:hAnsiTheme="minorEastAsia" w:eastAsiaTheme="minorEastAsia"/>
                <w:sz w:val="21"/>
                <w:szCs w:val="21"/>
              </w:rPr>
            </w:pPr>
            <w:r>
              <w:rPr>
                <w:rFonts w:cs="微软雅黑" w:asciiTheme="minorEastAsia" w:hAnsiTheme="minorEastAsia" w:eastAsiaTheme="minorEastAsia"/>
                <w:sz w:val="21"/>
                <w:szCs w:val="21"/>
                <w:shd w:val="clear" w:color="auto" w:fill="FFFFFF"/>
              </w:rPr>
              <w:t>复试科目：①001003刑事法综合</w:t>
            </w:r>
          </w:p>
        </w:tc>
        <w:tc>
          <w:tcPr>
            <w:tcW w:w="1797" w:type="dxa"/>
            <w:vMerge w:val="continue"/>
            <w:shd w:val="clear" w:color="auto" w:fill="auto"/>
          </w:tcPr>
          <w:p w14:paraId="590483E3">
            <w:pPr>
              <w:spacing w:line="500" w:lineRule="exact"/>
              <w:jc w:val="left"/>
              <w:rPr>
                <w:rFonts w:ascii="仿宋" w:hAnsi="仿宋" w:eastAsia="仿宋" w:cs="仿宋"/>
                <w:szCs w:val="21"/>
              </w:rPr>
            </w:pPr>
          </w:p>
        </w:tc>
        <w:tc>
          <w:tcPr>
            <w:tcW w:w="724" w:type="dxa"/>
            <w:shd w:val="clear" w:color="auto" w:fill="auto"/>
          </w:tcPr>
          <w:p w14:paraId="7E9441D5">
            <w:pPr>
              <w:spacing w:line="500" w:lineRule="exact"/>
              <w:jc w:val="left"/>
              <w:rPr>
                <w:rFonts w:ascii="仿宋" w:hAnsi="仿宋" w:eastAsia="仿宋" w:cs="仿宋"/>
                <w:szCs w:val="21"/>
              </w:rPr>
            </w:pPr>
          </w:p>
        </w:tc>
      </w:tr>
      <w:tr w14:paraId="56D11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Merge w:val="continue"/>
            <w:shd w:val="clear" w:color="auto" w:fill="auto"/>
            <w:vAlign w:val="center"/>
          </w:tcPr>
          <w:p w14:paraId="5F645807">
            <w:pPr>
              <w:spacing w:line="500" w:lineRule="exact"/>
              <w:jc w:val="center"/>
              <w:textAlignment w:val="center"/>
              <w:rPr>
                <w:rFonts w:ascii="仿宋" w:hAnsi="仿宋" w:eastAsia="仿宋" w:cs="仿宋"/>
                <w:szCs w:val="21"/>
              </w:rPr>
            </w:pPr>
          </w:p>
        </w:tc>
        <w:tc>
          <w:tcPr>
            <w:tcW w:w="1275" w:type="dxa"/>
            <w:vMerge w:val="continue"/>
            <w:shd w:val="clear" w:color="auto" w:fill="auto"/>
            <w:vAlign w:val="center"/>
          </w:tcPr>
          <w:p w14:paraId="2445760D">
            <w:pPr>
              <w:spacing w:line="500" w:lineRule="exact"/>
              <w:jc w:val="left"/>
              <w:textAlignment w:val="center"/>
              <w:rPr>
                <w:rFonts w:ascii="仿宋" w:hAnsi="仿宋" w:eastAsia="仿宋" w:cs="仿宋"/>
                <w:szCs w:val="21"/>
              </w:rPr>
            </w:pPr>
          </w:p>
        </w:tc>
        <w:tc>
          <w:tcPr>
            <w:tcW w:w="1360" w:type="dxa"/>
            <w:shd w:val="clear" w:color="auto" w:fill="auto"/>
          </w:tcPr>
          <w:p w14:paraId="5AE0C93D">
            <w:pPr>
              <w:widowControl/>
              <w:spacing w:line="500" w:lineRule="exact"/>
              <w:jc w:val="left"/>
              <w:textAlignment w:val="center"/>
              <w:rPr>
                <w:rFonts w:ascii="仿宋" w:hAnsi="仿宋" w:eastAsia="仿宋" w:cs="仿宋"/>
                <w:szCs w:val="21"/>
              </w:rPr>
            </w:pPr>
            <w:r>
              <w:rPr>
                <w:rFonts w:hint="eastAsia" w:ascii="宋体" w:hAnsi="宋体" w:eastAsia="宋体" w:cs="宋体"/>
                <w:kern w:val="0"/>
                <w:sz w:val="20"/>
                <w:szCs w:val="20"/>
                <w:lang w:bidi="ar"/>
              </w:rPr>
              <w:t>民商法学</w:t>
            </w:r>
          </w:p>
        </w:tc>
        <w:tc>
          <w:tcPr>
            <w:tcW w:w="2027" w:type="dxa"/>
            <w:shd w:val="clear" w:color="auto" w:fill="auto"/>
          </w:tcPr>
          <w:p w14:paraId="76E53AD5">
            <w:pPr>
              <w:pStyle w:val="7"/>
              <w:spacing w:before="0" w:beforeAutospacing="0" w:after="0" w:afterAutospacing="0" w:line="500" w:lineRule="exact"/>
              <w:rPr>
                <w:rFonts w:cs="仿宋" w:asciiTheme="minorEastAsia" w:hAnsiTheme="minorEastAsia" w:eastAsiaTheme="minorEastAsia"/>
                <w:sz w:val="21"/>
                <w:szCs w:val="21"/>
              </w:rPr>
            </w:pPr>
            <w:r>
              <w:rPr>
                <w:rFonts w:cs="微软雅黑" w:asciiTheme="minorEastAsia" w:hAnsiTheme="minorEastAsia" w:eastAsiaTheme="minorEastAsia"/>
                <w:sz w:val="21"/>
                <w:szCs w:val="21"/>
                <w:shd w:val="clear" w:color="auto" w:fill="FFFFFF"/>
              </w:rPr>
              <w:t>复试科目：①001004民商法综合</w:t>
            </w:r>
            <w:r>
              <w:rPr>
                <w:rFonts w:hint="eastAsia" w:cs="微软雅黑" w:asciiTheme="minorEastAsia" w:hAnsiTheme="minorEastAsia" w:eastAsiaTheme="minorEastAsia"/>
                <w:sz w:val="21"/>
                <w:szCs w:val="21"/>
              </w:rPr>
              <w:br w:type="textWrapping"/>
            </w:r>
            <w:r>
              <w:rPr>
                <w:rFonts w:hint="eastAsia" w:cs="微软雅黑" w:asciiTheme="minorEastAsia" w:hAnsiTheme="minorEastAsia" w:eastAsiaTheme="minorEastAsia"/>
                <w:sz w:val="21"/>
                <w:szCs w:val="21"/>
                <w:shd w:val="clear" w:color="auto" w:fill="FFFFFF"/>
              </w:rPr>
              <w:t>同等学力加试科目：①1001003民事诉讼法；②1001004行政法与行政诉讼法</w:t>
            </w:r>
          </w:p>
        </w:tc>
        <w:tc>
          <w:tcPr>
            <w:tcW w:w="1797" w:type="dxa"/>
            <w:vMerge w:val="continue"/>
            <w:shd w:val="clear" w:color="auto" w:fill="auto"/>
          </w:tcPr>
          <w:p w14:paraId="4DE6A000">
            <w:pPr>
              <w:spacing w:line="500" w:lineRule="exact"/>
              <w:jc w:val="center"/>
              <w:rPr>
                <w:rFonts w:ascii="仿宋" w:hAnsi="仿宋" w:eastAsia="仿宋" w:cs="仿宋"/>
                <w:szCs w:val="21"/>
              </w:rPr>
            </w:pPr>
          </w:p>
        </w:tc>
        <w:tc>
          <w:tcPr>
            <w:tcW w:w="724" w:type="dxa"/>
            <w:shd w:val="clear" w:color="auto" w:fill="auto"/>
          </w:tcPr>
          <w:p w14:paraId="0F8327C3">
            <w:pPr>
              <w:spacing w:line="500" w:lineRule="exact"/>
              <w:jc w:val="center"/>
              <w:rPr>
                <w:rFonts w:ascii="仿宋" w:hAnsi="仿宋" w:eastAsia="仿宋" w:cs="仿宋"/>
                <w:szCs w:val="21"/>
              </w:rPr>
            </w:pPr>
          </w:p>
        </w:tc>
      </w:tr>
      <w:tr w14:paraId="3E6E9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Merge w:val="continue"/>
            <w:shd w:val="clear" w:color="auto" w:fill="auto"/>
            <w:vAlign w:val="center"/>
          </w:tcPr>
          <w:p w14:paraId="0A7E08E2">
            <w:pPr>
              <w:spacing w:line="500" w:lineRule="exact"/>
              <w:jc w:val="center"/>
              <w:textAlignment w:val="center"/>
              <w:rPr>
                <w:rFonts w:ascii="仿宋" w:hAnsi="仿宋" w:eastAsia="仿宋" w:cs="仿宋"/>
                <w:szCs w:val="21"/>
              </w:rPr>
            </w:pPr>
          </w:p>
        </w:tc>
        <w:tc>
          <w:tcPr>
            <w:tcW w:w="1275" w:type="dxa"/>
            <w:vMerge w:val="continue"/>
            <w:shd w:val="clear" w:color="auto" w:fill="auto"/>
            <w:vAlign w:val="center"/>
          </w:tcPr>
          <w:p w14:paraId="6703B82D">
            <w:pPr>
              <w:spacing w:line="500" w:lineRule="exact"/>
              <w:jc w:val="left"/>
              <w:textAlignment w:val="center"/>
              <w:rPr>
                <w:rFonts w:ascii="仿宋" w:hAnsi="仿宋" w:eastAsia="仿宋" w:cs="仿宋"/>
                <w:szCs w:val="21"/>
              </w:rPr>
            </w:pPr>
          </w:p>
        </w:tc>
        <w:tc>
          <w:tcPr>
            <w:tcW w:w="1360" w:type="dxa"/>
            <w:shd w:val="clear" w:color="auto" w:fill="auto"/>
          </w:tcPr>
          <w:p w14:paraId="15E77980">
            <w:pPr>
              <w:widowControl/>
              <w:spacing w:line="500" w:lineRule="exact"/>
              <w:jc w:val="left"/>
              <w:textAlignment w:val="center"/>
              <w:rPr>
                <w:rFonts w:ascii="仿宋" w:hAnsi="仿宋" w:eastAsia="仿宋" w:cs="仿宋"/>
                <w:szCs w:val="21"/>
              </w:rPr>
            </w:pPr>
            <w:r>
              <w:rPr>
                <w:rFonts w:hint="eastAsia" w:ascii="宋体" w:hAnsi="宋体" w:eastAsia="宋体" w:cs="宋体"/>
                <w:kern w:val="0"/>
                <w:sz w:val="20"/>
                <w:szCs w:val="20"/>
                <w:lang w:bidi="ar"/>
              </w:rPr>
              <w:t>诉讼法学</w:t>
            </w:r>
          </w:p>
        </w:tc>
        <w:tc>
          <w:tcPr>
            <w:tcW w:w="2027" w:type="dxa"/>
            <w:shd w:val="clear" w:color="auto" w:fill="auto"/>
          </w:tcPr>
          <w:p w14:paraId="61512AFA">
            <w:pPr>
              <w:pStyle w:val="7"/>
              <w:spacing w:before="0" w:beforeAutospacing="0" w:after="0" w:afterAutospacing="0" w:line="500" w:lineRule="exact"/>
              <w:rPr>
                <w:rFonts w:cs="微软雅黑" w:asciiTheme="minorEastAsia" w:hAnsiTheme="minorEastAsia" w:eastAsiaTheme="minorEastAsia"/>
                <w:color w:val="FF0000"/>
                <w:sz w:val="21"/>
                <w:szCs w:val="21"/>
                <w:shd w:val="clear" w:color="auto" w:fill="FFFFFF"/>
              </w:rPr>
            </w:pPr>
            <w:r>
              <w:rPr>
                <w:rFonts w:hint="eastAsia" w:cs="微软雅黑" w:asciiTheme="minorEastAsia" w:hAnsiTheme="minorEastAsia" w:eastAsiaTheme="minorEastAsia"/>
                <w:sz w:val="21"/>
                <w:szCs w:val="21"/>
                <w:shd w:val="clear" w:color="auto" w:fill="FFFFFF"/>
              </w:rPr>
              <w:t>复试科目：</w:t>
            </w:r>
            <w:r>
              <w:rPr>
                <w:rFonts w:hint="eastAsia" w:cs="微软雅黑" w:asciiTheme="minorEastAsia" w:hAnsiTheme="minorEastAsia" w:eastAsiaTheme="minorEastAsia"/>
                <w:color w:val="000000" w:themeColor="text1"/>
                <w:sz w:val="21"/>
                <w:szCs w:val="21"/>
                <w:shd w:val="clear" w:color="auto" w:fill="FFFFFF"/>
                <w14:textFill>
                  <w14:solidFill>
                    <w14:schemeClr w14:val="tx1"/>
                  </w14:solidFill>
                </w14:textFill>
              </w:rPr>
              <w:t>①001005诉讼法综合</w:t>
            </w:r>
          </w:p>
        </w:tc>
        <w:tc>
          <w:tcPr>
            <w:tcW w:w="1797" w:type="dxa"/>
            <w:vMerge w:val="continue"/>
            <w:shd w:val="clear" w:color="auto" w:fill="auto"/>
          </w:tcPr>
          <w:p w14:paraId="6EED80A9">
            <w:pPr>
              <w:spacing w:line="500" w:lineRule="exact"/>
              <w:jc w:val="center"/>
              <w:rPr>
                <w:rFonts w:ascii="仿宋" w:hAnsi="仿宋" w:eastAsia="仿宋" w:cs="仿宋"/>
                <w:szCs w:val="21"/>
              </w:rPr>
            </w:pPr>
          </w:p>
        </w:tc>
        <w:tc>
          <w:tcPr>
            <w:tcW w:w="724" w:type="dxa"/>
            <w:shd w:val="clear" w:color="auto" w:fill="auto"/>
          </w:tcPr>
          <w:p w14:paraId="79D360E9">
            <w:pPr>
              <w:spacing w:line="500" w:lineRule="exact"/>
              <w:jc w:val="center"/>
              <w:rPr>
                <w:rFonts w:ascii="仿宋" w:hAnsi="仿宋" w:eastAsia="仿宋" w:cs="仿宋"/>
                <w:szCs w:val="21"/>
              </w:rPr>
            </w:pPr>
          </w:p>
        </w:tc>
      </w:tr>
      <w:tr w14:paraId="2FEA5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Merge w:val="continue"/>
            <w:shd w:val="clear" w:color="auto" w:fill="auto"/>
            <w:vAlign w:val="center"/>
          </w:tcPr>
          <w:p w14:paraId="7BC0B268">
            <w:pPr>
              <w:spacing w:line="500" w:lineRule="exact"/>
              <w:jc w:val="center"/>
              <w:textAlignment w:val="center"/>
              <w:rPr>
                <w:rFonts w:ascii="仿宋" w:hAnsi="仿宋" w:eastAsia="仿宋" w:cs="仿宋"/>
                <w:szCs w:val="21"/>
              </w:rPr>
            </w:pPr>
          </w:p>
        </w:tc>
        <w:tc>
          <w:tcPr>
            <w:tcW w:w="1275" w:type="dxa"/>
            <w:vMerge w:val="continue"/>
            <w:shd w:val="clear" w:color="auto" w:fill="auto"/>
            <w:vAlign w:val="center"/>
          </w:tcPr>
          <w:p w14:paraId="036D70C2">
            <w:pPr>
              <w:spacing w:line="500" w:lineRule="exact"/>
              <w:jc w:val="left"/>
              <w:textAlignment w:val="center"/>
              <w:rPr>
                <w:rFonts w:ascii="仿宋" w:hAnsi="仿宋" w:eastAsia="仿宋" w:cs="仿宋"/>
                <w:szCs w:val="21"/>
              </w:rPr>
            </w:pPr>
          </w:p>
        </w:tc>
        <w:tc>
          <w:tcPr>
            <w:tcW w:w="1360" w:type="dxa"/>
            <w:shd w:val="clear" w:color="auto" w:fill="auto"/>
          </w:tcPr>
          <w:p w14:paraId="55F23D0C">
            <w:pPr>
              <w:widowControl/>
              <w:spacing w:line="500" w:lineRule="exact"/>
              <w:jc w:val="left"/>
              <w:textAlignment w:val="center"/>
              <w:rPr>
                <w:rFonts w:ascii="仿宋" w:hAnsi="仿宋" w:eastAsia="仿宋" w:cs="仿宋"/>
                <w:szCs w:val="21"/>
              </w:rPr>
            </w:pPr>
            <w:r>
              <w:rPr>
                <w:rFonts w:hint="eastAsia" w:ascii="宋体" w:hAnsi="宋体" w:eastAsia="宋体" w:cs="宋体"/>
                <w:kern w:val="0"/>
                <w:sz w:val="20"/>
                <w:szCs w:val="20"/>
                <w:lang w:bidi="ar"/>
              </w:rPr>
              <w:t>经济法学</w:t>
            </w:r>
          </w:p>
        </w:tc>
        <w:tc>
          <w:tcPr>
            <w:tcW w:w="2027" w:type="dxa"/>
            <w:shd w:val="clear" w:color="auto" w:fill="auto"/>
          </w:tcPr>
          <w:p w14:paraId="137A9451">
            <w:pPr>
              <w:pStyle w:val="7"/>
              <w:spacing w:before="0" w:beforeAutospacing="0" w:after="0" w:afterAutospacing="0" w:line="500" w:lineRule="exact"/>
              <w:rPr>
                <w:rFonts w:cs="仿宋" w:asciiTheme="minorEastAsia" w:hAnsiTheme="minorEastAsia" w:eastAsiaTheme="minorEastAsia"/>
                <w:sz w:val="21"/>
                <w:szCs w:val="21"/>
              </w:rPr>
            </w:pPr>
            <w:r>
              <w:rPr>
                <w:rFonts w:cs="微软雅黑" w:asciiTheme="minorEastAsia" w:hAnsiTheme="minorEastAsia" w:eastAsiaTheme="minorEastAsia"/>
                <w:sz w:val="21"/>
                <w:szCs w:val="21"/>
                <w:shd w:val="clear" w:color="auto" w:fill="FFFFFF"/>
              </w:rPr>
              <w:t>复试科目：①001006经济法</w:t>
            </w:r>
          </w:p>
        </w:tc>
        <w:tc>
          <w:tcPr>
            <w:tcW w:w="1797" w:type="dxa"/>
            <w:vMerge w:val="continue"/>
            <w:shd w:val="clear" w:color="auto" w:fill="auto"/>
          </w:tcPr>
          <w:p w14:paraId="53CC07E9">
            <w:pPr>
              <w:spacing w:line="500" w:lineRule="exact"/>
              <w:jc w:val="center"/>
              <w:rPr>
                <w:rFonts w:ascii="仿宋" w:hAnsi="仿宋" w:eastAsia="仿宋" w:cs="仿宋"/>
                <w:szCs w:val="21"/>
              </w:rPr>
            </w:pPr>
          </w:p>
        </w:tc>
        <w:tc>
          <w:tcPr>
            <w:tcW w:w="724" w:type="dxa"/>
            <w:shd w:val="clear" w:color="auto" w:fill="auto"/>
          </w:tcPr>
          <w:p w14:paraId="0938B05D">
            <w:pPr>
              <w:spacing w:line="500" w:lineRule="exact"/>
              <w:jc w:val="center"/>
              <w:rPr>
                <w:rFonts w:ascii="仿宋" w:hAnsi="仿宋" w:eastAsia="仿宋" w:cs="仿宋"/>
                <w:szCs w:val="21"/>
              </w:rPr>
            </w:pPr>
          </w:p>
        </w:tc>
      </w:tr>
      <w:tr w14:paraId="3855D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Merge w:val="continue"/>
            <w:shd w:val="clear" w:color="auto" w:fill="auto"/>
            <w:vAlign w:val="center"/>
          </w:tcPr>
          <w:p w14:paraId="6DA90A3C">
            <w:pPr>
              <w:spacing w:line="500" w:lineRule="exact"/>
              <w:jc w:val="center"/>
              <w:textAlignment w:val="center"/>
              <w:rPr>
                <w:rFonts w:ascii="仿宋" w:hAnsi="仿宋" w:eastAsia="仿宋" w:cs="仿宋"/>
                <w:szCs w:val="21"/>
              </w:rPr>
            </w:pPr>
          </w:p>
        </w:tc>
        <w:tc>
          <w:tcPr>
            <w:tcW w:w="1275" w:type="dxa"/>
            <w:vMerge w:val="continue"/>
            <w:shd w:val="clear" w:color="auto" w:fill="auto"/>
            <w:vAlign w:val="center"/>
          </w:tcPr>
          <w:p w14:paraId="553B2F9C">
            <w:pPr>
              <w:widowControl/>
              <w:spacing w:line="500" w:lineRule="exact"/>
              <w:jc w:val="left"/>
              <w:textAlignment w:val="center"/>
              <w:rPr>
                <w:rFonts w:ascii="仿宋" w:hAnsi="仿宋" w:eastAsia="仿宋" w:cs="仿宋"/>
                <w:szCs w:val="21"/>
              </w:rPr>
            </w:pPr>
          </w:p>
        </w:tc>
        <w:tc>
          <w:tcPr>
            <w:tcW w:w="1360" w:type="dxa"/>
            <w:shd w:val="clear" w:color="auto" w:fill="auto"/>
          </w:tcPr>
          <w:p w14:paraId="5DE4ECC7">
            <w:pPr>
              <w:widowControl/>
              <w:spacing w:line="500" w:lineRule="exact"/>
              <w:jc w:val="left"/>
              <w:textAlignment w:val="center"/>
              <w:rPr>
                <w:rFonts w:ascii="仿宋" w:hAnsi="仿宋" w:eastAsia="仿宋" w:cs="仿宋"/>
                <w:szCs w:val="21"/>
              </w:rPr>
            </w:pPr>
            <w:r>
              <w:rPr>
                <w:rFonts w:hint="eastAsia" w:ascii="宋体" w:hAnsi="宋体" w:eastAsia="宋体" w:cs="宋体"/>
                <w:kern w:val="0"/>
                <w:sz w:val="20"/>
                <w:szCs w:val="20"/>
                <w:lang w:bidi="ar"/>
              </w:rPr>
              <w:t>国际法学</w:t>
            </w:r>
          </w:p>
        </w:tc>
        <w:tc>
          <w:tcPr>
            <w:tcW w:w="2027" w:type="dxa"/>
            <w:shd w:val="clear" w:color="auto" w:fill="auto"/>
          </w:tcPr>
          <w:p w14:paraId="19753A7A">
            <w:pPr>
              <w:pStyle w:val="7"/>
              <w:spacing w:before="0" w:beforeAutospacing="0" w:after="0" w:afterAutospacing="0" w:line="500" w:lineRule="exact"/>
              <w:rPr>
                <w:rFonts w:cs="仿宋" w:asciiTheme="minorEastAsia" w:hAnsiTheme="minorEastAsia" w:eastAsiaTheme="minorEastAsia"/>
                <w:sz w:val="21"/>
                <w:szCs w:val="21"/>
              </w:rPr>
            </w:pPr>
            <w:r>
              <w:rPr>
                <w:rFonts w:cs="微软雅黑" w:asciiTheme="minorEastAsia" w:hAnsiTheme="minorEastAsia" w:eastAsiaTheme="minorEastAsia"/>
                <w:sz w:val="21"/>
                <w:szCs w:val="21"/>
                <w:shd w:val="clear" w:color="auto" w:fill="FFFFFF"/>
              </w:rPr>
              <w:t>复试科目：①001007国际法</w:t>
            </w:r>
            <w:r>
              <w:rPr>
                <w:rFonts w:hint="eastAsia" w:cs="微软雅黑" w:asciiTheme="minorEastAsia" w:hAnsiTheme="minorEastAsia" w:eastAsiaTheme="minorEastAsia"/>
                <w:sz w:val="21"/>
                <w:szCs w:val="21"/>
              </w:rPr>
              <w:br w:type="textWrapping"/>
            </w:r>
            <w:r>
              <w:rPr>
                <w:rFonts w:hint="eastAsia" w:cs="微软雅黑" w:asciiTheme="minorEastAsia" w:hAnsiTheme="minorEastAsia" w:eastAsiaTheme="minorEastAsia"/>
                <w:sz w:val="21"/>
                <w:szCs w:val="21"/>
                <w:shd w:val="clear" w:color="auto" w:fill="FFFFFF"/>
              </w:rPr>
              <w:t>同等学力加试科目：①1001006国际私法；②1001007国际经济法</w:t>
            </w:r>
          </w:p>
        </w:tc>
        <w:tc>
          <w:tcPr>
            <w:tcW w:w="1797" w:type="dxa"/>
            <w:vMerge w:val="continue"/>
            <w:shd w:val="clear" w:color="auto" w:fill="auto"/>
          </w:tcPr>
          <w:p w14:paraId="2B709D92">
            <w:pPr>
              <w:spacing w:line="500" w:lineRule="exact"/>
              <w:jc w:val="center"/>
              <w:rPr>
                <w:rFonts w:ascii="仿宋" w:hAnsi="仿宋" w:eastAsia="仿宋" w:cs="仿宋"/>
                <w:szCs w:val="21"/>
              </w:rPr>
            </w:pPr>
          </w:p>
        </w:tc>
        <w:tc>
          <w:tcPr>
            <w:tcW w:w="724" w:type="dxa"/>
            <w:shd w:val="clear" w:color="auto" w:fill="auto"/>
          </w:tcPr>
          <w:p w14:paraId="6F83FB5C">
            <w:pPr>
              <w:spacing w:line="500" w:lineRule="exact"/>
              <w:jc w:val="center"/>
              <w:rPr>
                <w:rFonts w:ascii="仿宋" w:hAnsi="仿宋" w:eastAsia="仿宋" w:cs="仿宋"/>
                <w:szCs w:val="21"/>
              </w:rPr>
            </w:pPr>
          </w:p>
        </w:tc>
      </w:tr>
      <w:tr w14:paraId="0F3D7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Merge w:val="continue"/>
            <w:shd w:val="clear" w:color="auto" w:fill="auto"/>
            <w:vAlign w:val="center"/>
          </w:tcPr>
          <w:p w14:paraId="3556359C">
            <w:pPr>
              <w:widowControl/>
              <w:spacing w:line="500" w:lineRule="exact"/>
              <w:jc w:val="center"/>
              <w:textAlignment w:val="center"/>
              <w:rPr>
                <w:rFonts w:ascii="仿宋" w:hAnsi="仿宋" w:eastAsia="仿宋" w:cs="仿宋"/>
                <w:szCs w:val="21"/>
              </w:rPr>
            </w:pPr>
          </w:p>
        </w:tc>
        <w:tc>
          <w:tcPr>
            <w:tcW w:w="1275" w:type="dxa"/>
            <w:shd w:val="clear" w:color="auto" w:fill="auto"/>
            <w:vAlign w:val="center"/>
          </w:tcPr>
          <w:p w14:paraId="3B49E4D2">
            <w:pPr>
              <w:widowControl/>
              <w:spacing w:line="500" w:lineRule="exact"/>
              <w:jc w:val="left"/>
              <w:textAlignment w:val="center"/>
              <w:rPr>
                <w:rFonts w:ascii="仿宋" w:hAnsi="仿宋" w:eastAsia="仿宋" w:cs="仿宋"/>
                <w:szCs w:val="21"/>
              </w:rPr>
            </w:pPr>
            <w:r>
              <w:rPr>
                <w:rFonts w:hint="eastAsia" w:ascii="宋体" w:hAnsi="宋体" w:eastAsia="宋体" w:cs="宋体"/>
                <w:kern w:val="0"/>
                <w:sz w:val="20"/>
                <w:szCs w:val="20"/>
                <w:lang w:bidi="ar"/>
              </w:rPr>
              <w:t>知识产权法学</w:t>
            </w:r>
          </w:p>
        </w:tc>
        <w:tc>
          <w:tcPr>
            <w:tcW w:w="1360" w:type="dxa"/>
            <w:shd w:val="clear" w:color="auto" w:fill="auto"/>
          </w:tcPr>
          <w:p w14:paraId="35796116">
            <w:pPr>
              <w:widowControl/>
              <w:spacing w:line="500" w:lineRule="exact"/>
              <w:jc w:val="left"/>
              <w:textAlignment w:val="center"/>
              <w:rPr>
                <w:rFonts w:ascii="仿宋" w:hAnsi="仿宋" w:eastAsia="仿宋" w:cs="仿宋"/>
                <w:szCs w:val="21"/>
              </w:rPr>
            </w:pPr>
          </w:p>
        </w:tc>
        <w:tc>
          <w:tcPr>
            <w:tcW w:w="2027" w:type="dxa"/>
            <w:shd w:val="clear" w:color="auto" w:fill="auto"/>
          </w:tcPr>
          <w:p w14:paraId="0BC26C29">
            <w:pPr>
              <w:pStyle w:val="7"/>
              <w:spacing w:before="0" w:beforeAutospacing="0" w:after="0" w:afterAutospacing="0" w:line="500" w:lineRule="exact"/>
              <w:rPr>
                <w:rFonts w:cs="仿宋" w:asciiTheme="minorEastAsia" w:hAnsiTheme="minorEastAsia" w:eastAsiaTheme="minorEastAsia"/>
                <w:sz w:val="21"/>
                <w:szCs w:val="21"/>
              </w:rPr>
            </w:pPr>
            <w:r>
              <w:rPr>
                <w:rFonts w:cs="微软雅黑" w:asciiTheme="minorEastAsia" w:hAnsiTheme="minorEastAsia" w:eastAsiaTheme="minorEastAsia"/>
                <w:sz w:val="21"/>
                <w:szCs w:val="21"/>
                <w:shd w:val="clear" w:color="auto" w:fill="FFFFFF"/>
              </w:rPr>
              <w:t>复试科目：①001008知识产权法学综合</w:t>
            </w:r>
          </w:p>
        </w:tc>
        <w:tc>
          <w:tcPr>
            <w:tcW w:w="1797" w:type="dxa"/>
            <w:vMerge w:val="continue"/>
            <w:shd w:val="clear" w:color="auto" w:fill="auto"/>
          </w:tcPr>
          <w:p w14:paraId="08B9BE79">
            <w:pPr>
              <w:spacing w:line="500" w:lineRule="exact"/>
              <w:jc w:val="center"/>
              <w:rPr>
                <w:rFonts w:ascii="仿宋" w:hAnsi="仿宋" w:eastAsia="仿宋" w:cs="仿宋"/>
                <w:szCs w:val="21"/>
              </w:rPr>
            </w:pPr>
          </w:p>
        </w:tc>
        <w:tc>
          <w:tcPr>
            <w:tcW w:w="724" w:type="dxa"/>
            <w:shd w:val="clear" w:color="auto" w:fill="auto"/>
          </w:tcPr>
          <w:p w14:paraId="4F418147">
            <w:pPr>
              <w:spacing w:line="500" w:lineRule="exact"/>
              <w:jc w:val="center"/>
              <w:rPr>
                <w:rFonts w:ascii="仿宋" w:hAnsi="仿宋" w:eastAsia="仿宋" w:cs="仿宋"/>
                <w:szCs w:val="21"/>
              </w:rPr>
            </w:pPr>
          </w:p>
        </w:tc>
      </w:tr>
      <w:tr w14:paraId="4DCA0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vAlign w:val="center"/>
          </w:tcPr>
          <w:p w14:paraId="6A262C4D">
            <w:pPr>
              <w:widowControl/>
              <w:spacing w:line="500" w:lineRule="exact"/>
              <w:jc w:val="center"/>
              <w:textAlignment w:val="center"/>
              <w:rPr>
                <w:rFonts w:ascii="仿宋" w:hAnsi="仿宋" w:eastAsia="仿宋" w:cs="仿宋"/>
                <w:szCs w:val="21"/>
              </w:rPr>
            </w:pPr>
            <w:bookmarkStart w:id="0" w:name="Text48"/>
            <w:r>
              <w:rPr>
                <w:rFonts w:hint="eastAsia" w:ascii="宋体" w:hAnsi="宋体" w:eastAsia="宋体" w:cs="宋体"/>
                <w:kern w:val="0"/>
                <w:sz w:val="20"/>
                <w:szCs w:val="20"/>
                <w:lang w:bidi="ar"/>
              </w:rPr>
              <w:t>035101</w:t>
            </w:r>
          </w:p>
        </w:tc>
        <w:tc>
          <w:tcPr>
            <w:tcW w:w="1275" w:type="dxa"/>
            <w:shd w:val="clear" w:color="auto" w:fill="auto"/>
          </w:tcPr>
          <w:p w14:paraId="53F7E49B">
            <w:pPr>
              <w:widowControl/>
              <w:spacing w:line="500" w:lineRule="exact"/>
              <w:jc w:val="left"/>
              <w:textAlignment w:val="center"/>
              <w:rPr>
                <w:rFonts w:ascii="仿宋" w:hAnsi="仿宋" w:eastAsia="仿宋" w:cs="仿宋"/>
                <w:szCs w:val="21"/>
              </w:rPr>
            </w:pPr>
            <w:r>
              <w:rPr>
                <w:rFonts w:hint="eastAsia" w:ascii="宋体" w:hAnsi="宋体" w:eastAsia="宋体" w:cs="宋体"/>
                <w:kern w:val="0"/>
                <w:sz w:val="20"/>
                <w:szCs w:val="20"/>
                <w:lang w:bidi="ar"/>
              </w:rPr>
              <w:t>法律硕士（非法学）</w:t>
            </w:r>
          </w:p>
        </w:tc>
        <w:tc>
          <w:tcPr>
            <w:tcW w:w="1360" w:type="dxa"/>
            <w:shd w:val="clear" w:color="auto" w:fill="auto"/>
          </w:tcPr>
          <w:p w14:paraId="06845874">
            <w:pPr>
              <w:pStyle w:val="7"/>
              <w:spacing w:before="0" w:beforeAutospacing="0" w:after="0" w:afterAutospacing="0" w:line="500" w:lineRule="exact"/>
              <w:rPr>
                <w:rFonts w:ascii="仿宋" w:hAnsi="仿宋" w:eastAsia="仿宋" w:cs="仿宋"/>
                <w:sz w:val="21"/>
                <w:szCs w:val="21"/>
              </w:rPr>
            </w:pPr>
            <w:r>
              <w:rPr>
                <w:rFonts w:hint="eastAsia" w:ascii="仿宋" w:hAnsi="仿宋" w:eastAsia="仿宋" w:cs="仿宋"/>
                <w:sz w:val="21"/>
                <w:szCs w:val="21"/>
              </w:rPr>
              <w:t>不分方向</w:t>
            </w:r>
          </w:p>
        </w:tc>
        <w:tc>
          <w:tcPr>
            <w:tcW w:w="2027" w:type="dxa"/>
            <w:shd w:val="clear" w:color="auto" w:fill="auto"/>
          </w:tcPr>
          <w:p w14:paraId="37E71EA6">
            <w:pPr>
              <w:pStyle w:val="7"/>
              <w:spacing w:before="0" w:beforeAutospacing="0" w:after="0" w:afterAutospacing="0" w:line="500" w:lineRule="exact"/>
              <w:rPr>
                <w:rFonts w:cs="仿宋" w:asciiTheme="minorEastAsia" w:hAnsiTheme="minorEastAsia" w:eastAsiaTheme="minorEastAsia"/>
                <w:sz w:val="21"/>
                <w:szCs w:val="21"/>
              </w:rPr>
            </w:pPr>
            <w:r>
              <w:rPr>
                <w:rFonts w:cs="微软雅黑" w:asciiTheme="minorEastAsia" w:hAnsiTheme="minorEastAsia" w:eastAsiaTheme="minorEastAsia"/>
                <w:sz w:val="21"/>
                <w:szCs w:val="21"/>
                <w:shd w:val="clear" w:color="auto" w:fill="FFFFFF"/>
              </w:rPr>
              <w:t>复试科目：①001009刑事诉讼法</w:t>
            </w:r>
            <w:r>
              <w:rPr>
                <w:rFonts w:hint="eastAsia" w:cs="微软雅黑" w:asciiTheme="minorEastAsia" w:hAnsiTheme="minorEastAsia" w:eastAsiaTheme="minorEastAsia"/>
                <w:sz w:val="21"/>
                <w:szCs w:val="21"/>
              </w:rPr>
              <w:br w:type="textWrapping"/>
            </w:r>
            <w:r>
              <w:rPr>
                <w:rFonts w:hint="eastAsia" w:cs="微软雅黑" w:asciiTheme="minorEastAsia" w:hAnsiTheme="minorEastAsia" w:eastAsiaTheme="minorEastAsia"/>
                <w:sz w:val="21"/>
                <w:szCs w:val="21"/>
                <w:shd w:val="clear" w:color="auto" w:fill="FFFFFF"/>
              </w:rPr>
              <w:t>同等学力加试科目：①1001008行政法与行政诉讼法；②1001009知识产权法</w:t>
            </w:r>
          </w:p>
        </w:tc>
        <w:tc>
          <w:tcPr>
            <w:tcW w:w="1797" w:type="dxa"/>
            <w:vMerge w:val="restart"/>
            <w:shd w:val="clear" w:color="auto" w:fill="auto"/>
          </w:tcPr>
          <w:p w14:paraId="375CABEA">
            <w:pPr>
              <w:spacing w:line="500" w:lineRule="exact"/>
              <w:jc w:val="left"/>
              <w:rPr>
                <w:rFonts w:ascii="仿宋" w:hAnsi="仿宋" w:eastAsia="仿宋" w:cs="仿宋"/>
                <w:szCs w:val="21"/>
              </w:rPr>
            </w:pPr>
            <w:r>
              <w:rPr>
                <w:rFonts w:hint="eastAsia" w:ascii="仿宋" w:hAnsi="仿宋" w:eastAsia="仿宋" w:cs="仿宋"/>
                <w:b/>
                <w:bCs/>
                <w:szCs w:val="21"/>
              </w:rPr>
              <w:t>专业基础笔试：</w:t>
            </w:r>
            <w:r>
              <w:rPr>
                <w:rFonts w:hint="eastAsia" w:ascii="仿宋" w:hAnsi="仿宋" w:eastAsia="仿宋" w:cs="仿宋"/>
                <w:szCs w:val="21"/>
              </w:rPr>
              <w:t>3月31日上午8：30开始；</w:t>
            </w:r>
          </w:p>
          <w:p w14:paraId="4CFF0538">
            <w:pPr>
              <w:spacing w:line="500" w:lineRule="exact"/>
              <w:jc w:val="left"/>
              <w:rPr>
                <w:rFonts w:hint="eastAsia" w:ascii="仿宋" w:hAnsi="仿宋" w:eastAsia="仿宋" w:cs="仿宋"/>
                <w:b/>
                <w:bCs/>
                <w:szCs w:val="21"/>
                <w:lang w:eastAsia="zh-CN"/>
              </w:rPr>
            </w:pPr>
            <w:r>
              <w:rPr>
                <w:rFonts w:hint="eastAsia" w:ascii="仿宋" w:hAnsi="仿宋" w:eastAsia="仿宋" w:cs="仿宋"/>
                <w:b/>
                <w:bCs/>
                <w:szCs w:val="21"/>
              </w:rPr>
              <w:t>非全日制英语</w:t>
            </w:r>
            <w:r>
              <w:rPr>
                <w:rFonts w:hint="eastAsia" w:ascii="仿宋" w:hAnsi="仿宋" w:eastAsia="仿宋" w:cs="仿宋"/>
                <w:b/>
                <w:bCs/>
                <w:szCs w:val="21"/>
                <w:lang w:eastAsia="zh-CN"/>
              </w:rPr>
              <w:t>听力</w:t>
            </w:r>
            <w:r>
              <w:rPr>
                <w:rFonts w:hint="eastAsia" w:ascii="仿宋" w:hAnsi="仿宋" w:eastAsia="仿宋" w:cs="仿宋"/>
                <w:b/>
                <w:bCs/>
                <w:szCs w:val="21"/>
              </w:rPr>
              <w:t>口语复试：</w:t>
            </w:r>
            <w:r>
              <w:rPr>
                <w:rFonts w:hint="eastAsia" w:ascii="仿宋" w:hAnsi="仿宋" w:eastAsia="仿宋" w:cs="仿宋"/>
                <w:szCs w:val="21"/>
              </w:rPr>
              <w:t>3月31日下午；</w:t>
            </w:r>
            <w:r>
              <w:rPr>
                <w:rFonts w:hint="eastAsia" w:ascii="仿宋" w:hAnsi="仿宋" w:eastAsia="仿宋" w:cs="仿宋"/>
                <w:b/>
                <w:bCs/>
                <w:szCs w:val="21"/>
              </w:rPr>
              <w:t>全日制英语</w:t>
            </w:r>
            <w:r>
              <w:rPr>
                <w:rFonts w:hint="eastAsia" w:ascii="仿宋" w:hAnsi="仿宋" w:eastAsia="仿宋" w:cs="仿宋"/>
                <w:b/>
                <w:bCs/>
                <w:szCs w:val="21"/>
                <w:lang w:eastAsia="zh-CN"/>
              </w:rPr>
              <w:t>听力</w:t>
            </w:r>
            <w:r>
              <w:rPr>
                <w:rFonts w:hint="eastAsia" w:ascii="仿宋" w:hAnsi="仿宋" w:eastAsia="仿宋" w:cs="仿宋"/>
                <w:b/>
                <w:bCs/>
                <w:szCs w:val="21"/>
              </w:rPr>
              <w:t>口语复试</w:t>
            </w:r>
            <w:r>
              <w:rPr>
                <w:rFonts w:hint="eastAsia" w:ascii="仿宋" w:hAnsi="仿宋" w:eastAsia="仿宋" w:cs="仿宋"/>
                <w:b/>
                <w:bCs/>
                <w:szCs w:val="21"/>
                <w:lang w:eastAsia="zh-CN"/>
              </w:rPr>
              <w:t>：</w:t>
            </w:r>
          </w:p>
          <w:p w14:paraId="6871F22E">
            <w:pPr>
              <w:spacing w:line="500" w:lineRule="exact"/>
              <w:jc w:val="left"/>
              <w:rPr>
                <w:rFonts w:ascii="仿宋" w:hAnsi="仿宋" w:eastAsia="仿宋" w:cs="仿宋"/>
                <w:szCs w:val="21"/>
              </w:rPr>
            </w:pPr>
            <w:r>
              <w:rPr>
                <w:rFonts w:hint="eastAsia" w:ascii="仿宋" w:hAnsi="仿宋" w:eastAsia="仿宋" w:cs="仿宋"/>
                <w:szCs w:val="21"/>
              </w:rPr>
              <w:t>4月1日下午14:00至</w:t>
            </w:r>
            <w:r>
              <w:rPr>
                <w:rFonts w:hint="eastAsia" w:ascii="仿宋" w:hAnsi="仿宋" w:eastAsia="仿宋" w:cs="仿宋"/>
                <w:szCs w:val="21"/>
                <w:lang w:val="en-US" w:eastAsia="zh-CN"/>
              </w:rPr>
              <w:t>1</w:t>
            </w:r>
            <w:r>
              <w:rPr>
                <w:rFonts w:ascii="仿宋" w:hAnsi="仿宋" w:eastAsia="仿宋" w:cs="仿宋"/>
                <w:szCs w:val="21"/>
              </w:rPr>
              <w:t>8:00,</w:t>
            </w:r>
            <w:r>
              <w:rPr>
                <w:rFonts w:hint="eastAsia" w:ascii="仿宋" w:hAnsi="仿宋" w:eastAsia="仿宋" w:cs="仿宋"/>
                <w:szCs w:val="21"/>
              </w:rPr>
              <w:t>4月2日0</w:t>
            </w:r>
            <w:r>
              <w:rPr>
                <w:rFonts w:ascii="仿宋" w:hAnsi="仿宋" w:eastAsia="仿宋" w:cs="仿宋"/>
                <w:szCs w:val="21"/>
              </w:rPr>
              <w:t>8:30-11:30</w:t>
            </w:r>
            <w:r>
              <w:rPr>
                <w:rFonts w:hint="eastAsia" w:ascii="仿宋" w:hAnsi="仿宋" w:eastAsia="仿宋" w:cs="仿宋"/>
                <w:szCs w:val="21"/>
              </w:rPr>
              <w:t>；</w:t>
            </w:r>
          </w:p>
          <w:p w14:paraId="40B937AA">
            <w:pPr>
              <w:spacing w:line="500" w:lineRule="exact"/>
              <w:jc w:val="left"/>
              <w:rPr>
                <w:rFonts w:ascii="仿宋" w:hAnsi="仿宋" w:eastAsia="仿宋" w:cs="仿宋"/>
                <w:szCs w:val="21"/>
              </w:rPr>
            </w:pPr>
            <w:r>
              <w:rPr>
                <w:rFonts w:hint="eastAsia" w:ascii="仿宋" w:hAnsi="仿宋" w:eastAsia="仿宋" w:cs="仿宋"/>
                <w:b/>
                <w:bCs/>
                <w:szCs w:val="21"/>
              </w:rPr>
              <w:t>综合素质面试</w:t>
            </w:r>
            <w:r>
              <w:rPr>
                <w:rFonts w:hint="eastAsia" w:ascii="仿宋" w:hAnsi="仿宋" w:eastAsia="仿宋" w:cs="仿宋"/>
                <w:b/>
                <w:bCs/>
                <w:szCs w:val="21"/>
                <w:lang w:eastAsia="zh-CN"/>
              </w:rPr>
              <w:t>：</w:t>
            </w:r>
            <w:r>
              <w:rPr>
                <w:rFonts w:hint="eastAsia" w:ascii="仿宋" w:hAnsi="仿宋" w:eastAsia="仿宋" w:cs="仿宋"/>
                <w:szCs w:val="21"/>
              </w:rPr>
              <w:t>4月1日上午8:30开始</w:t>
            </w:r>
          </w:p>
        </w:tc>
        <w:tc>
          <w:tcPr>
            <w:tcW w:w="724" w:type="dxa"/>
            <w:shd w:val="clear" w:color="auto" w:fill="auto"/>
          </w:tcPr>
          <w:p w14:paraId="1C92E882">
            <w:pPr>
              <w:spacing w:line="500" w:lineRule="exact"/>
              <w:jc w:val="center"/>
              <w:rPr>
                <w:rFonts w:ascii="仿宋" w:hAnsi="仿宋" w:eastAsia="仿宋" w:cs="仿宋"/>
                <w:szCs w:val="21"/>
              </w:rPr>
            </w:pPr>
          </w:p>
        </w:tc>
      </w:tr>
      <w:tr w14:paraId="50FB8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auto"/>
            <w:vAlign w:val="center"/>
          </w:tcPr>
          <w:p w14:paraId="2350299C">
            <w:pPr>
              <w:widowControl/>
              <w:spacing w:line="500" w:lineRule="exact"/>
              <w:jc w:val="center"/>
              <w:textAlignment w:val="center"/>
              <w:rPr>
                <w:rFonts w:ascii="仿宋" w:hAnsi="仿宋" w:eastAsia="仿宋" w:cs="仿宋"/>
                <w:szCs w:val="21"/>
              </w:rPr>
            </w:pPr>
            <w:r>
              <w:rPr>
                <w:rFonts w:hint="eastAsia" w:ascii="宋体" w:hAnsi="宋体" w:eastAsia="宋体" w:cs="宋体"/>
                <w:kern w:val="0"/>
                <w:sz w:val="20"/>
                <w:szCs w:val="20"/>
                <w:lang w:bidi="ar"/>
              </w:rPr>
              <w:t>035102</w:t>
            </w:r>
          </w:p>
        </w:tc>
        <w:tc>
          <w:tcPr>
            <w:tcW w:w="1275" w:type="dxa"/>
            <w:shd w:val="clear" w:color="auto" w:fill="auto"/>
          </w:tcPr>
          <w:p w14:paraId="615FF971">
            <w:pPr>
              <w:widowControl/>
              <w:spacing w:line="500" w:lineRule="exact"/>
              <w:jc w:val="left"/>
              <w:textAlignment w:val="center"/>
              <w:rPr>
                <w:rFonts w:ascii="仿宋" w:hAnsi="仿宋" w:eastAsia="仿宋" w:cs="仿宋"/>
                <w:szCs w:val="21"/>
              </w:rPr>
            </w:pPr>
            <w:r>
              <w:rPr>
                <w:rFonts w:hint="eastAsia" w:ascii="宋体" w:hAnsi="宋体" w:eastAsia="宋体" w:cs="宋体"/>
                <w:kern w:val="0"/>
                <w:sz w:val="20"/>
                <w:szCs w:val="20"/>
                <w:lang w:bidi="ar"/>
              </w:rPr>
              <w:t>法律硕士（法学）</w:t>
            </w:r>
          </w:p>
        </w:tc>
        <w:tc>
          <w:tcPr>
            <w:tcW w:w="1360" w:type="dxa"/>
            <w:shd w:val="clear" w:color="auto" w:fill="auto"/>
          </w:tcPr>
          <w:p w14:paraId="1F913EAD">
            <w:pPr>
              <w:pStyle w:val="7"/>
              <w:spacing w:before="0" w:beforeAutospacing="0" w:after="0" w:afterAutospacing="0" w:line="500" w:lineRule="exact"/>
              <w:rPr>
                <w:rFonts w:ascii="仿宋" w:hAnsi="仿宋" w:eastAsia="仿宋" w:cs="仿宋"/>
                <w:sz w:val="21"/>
                <w:szCs w:val="21"/>
              </w:rPr>
            </w:pPr>
            <w:r>
              <w:rPr>
                <w:rFonts w:hint="eastAsia" w:ascii="仿宋" w:hAnsi="仿宋" w:eastAsia="仿宋" w:cs="仿宋"/>
                <w:sz w:val="21"/>
                <w:szCs w:val="21"/>
              </w:rPr>
              <w:t>不分方向</w:t>
            </w:r>
          </w:p>
        </w:tc>
        <w:tc>
          <w:tcPr>
            <w:tcW w:w="2027" w:type="dxa"/>
            <w:shd w:val="clear" w:color="auto" w:fill="auto"/>
          </w:tcPr>
          <w:p w14:paraId="5E893B67">
            <w:pPr>
              <w:pStyle w:val="7"/>
              <w:spacing w:before="0" w:beforeAutospacing="0" w:after="0" w:afterAutospacing="0" w:line="500" w:lineRule="exact"/>
              <w:rPr>
                <w:rFonts w:cs="仿宋" w:asciiTheme="minorEastAsia" w:hAnsiTheme="minorEastAsia" w:eastAsiaTheme="minorEastAsia"/>
                <w:sz w:val="21"/>
                <w:szCs w:val="21"/>
              </w:rPr>
            </w:pPr>
            <w:r>
              <w:rPr>
                <w:rFonts w:cs="微软雅黑" w:asciiTheme="minorEastAsia" w:hAnsiTheme="minorEastAsia" w:eastAsiaTheme="minorEastAsia"/>
                <w:sz w:val="21"/>
                <w:szCs w:val="21"/>
                <w:shd w:val="clear" w:color="auto" w:fill="FFFFFF"/>
              </w:rPr>
              <w:t>复试科目：①001009刑事诉讼法</w:t>
            </w:r>
            <w:r>
              <w:rPr>
                <w:rFonts w:hint="eastAsia" w:cs="微软雅黑" w:asciiTheme="minorEastAsia" w:hAnsiTheme="minorEastAsia" w:eastAsiaTheme="minorEastAsia"/>
                <w:sz w:val="21"/>
                <w:szCs w:val="21"/>
              </w:rPr>
              <w:br w:type="textWrapping"/>
            </w:r>
            <w:r>
              <w:rPr>
                <w:rFonts w:hint="eastAsia" w:cs="微软雅黑" w:asciiTheme="minorEastAsia" w:hAnsiTheme="minorEastAsia" w:eastAsiaTheme="minorEastAsia"/>
                <w:sz w:val="21"/>
                <w:szCs w:val="21"/>
                <w:shd w:val="clear" w:color="auto" w:fill="FFFFFF"/>
              </w:rPr>
              <w:t>同等学力加试科目：①1001008行政法与行政诉讼法；②1001009知识产权法</w:t>
            </w:r>
          </w:p>
        </w:tc>
        <w:tc>
          <w:tcPr>
            <w:tcW w:w="1797" w:type="dxa"/>
            <w:vMerge w:val="continue"/>
            <w:shd w:val="clear" w:color="auto" w:fill="auto"/>
          </w:tcPr>
          <w:p w14:paraId="1F8996C4">
            <w:pPr>
              <w:spacing w:line="500" w:lineRule="exact"/>
              <w:jc w:val="center"/>
              <w:rPr>
                <w:rFonts w:ascii="仿宋" w:hAnsi="仿宋" w:eastAsia="仿宋" w:cs="仿宋"/>
                <w:szCs w:val="21"/>
              </w:rPr>
            </w:pPr>
          </w:p>
        </w:tc>
        <w:tc>
          <w:tcPr>
            <w:tcW w:w="724" w:type="dxa"/>
            <w:shd w:val="clear" w:color="auto" w:fill="auto"/>
          </w:tcPr>
          <w:p w14:paraId="688919D6">
            <w:pPr>
              <w:spacing w:line="500" w:lineRule="exact"/>
              <w:jc w:val="center"/>
              <w:rPr>
                <w:rFonts w:ascii="仿宋" w:hAnsi="仿宋" w:eastAsia="仿宋" w:cs="仿宋"/>
                <w:szCs w:val="21"/>
              </w:rPr>
            </w:pPr>
          </w:p>
        </w:tc>
      </w:tr>
      <w:bookmarkEnd w:id="0"/>
    </w:tbl>
    <w:p w14:paraId="749A2140">
      <w:pPr>
        <w:pStyle w:val="7"/>
        <w:spacing w:before="0" w:beforeAutospacing="0" w:after="0" w:afterAutospacing="0" w:line="500" w:lineRule="exact"/>
        <w:jc w:val="both"/>
        <w:rPr>
          <w:rFonts w:ascii="仿宋" w:hAnsi="仿宋" w:eastAsia="仿宋" w:cs="仿宋"/>
          <w:b/>
          <w:bCs/>
          <w:sz w:val="32"/>
          <w:szCs w:val="32"/>
        </w:rPr>
      </w:pPr>
      <w:r>
        <w:rPr>
          <w:rFonts w:hint="eastAsia" w:ascii="仿宋" w:hAnsi="仿宋" w:eastAsia="仿宋" w:cs="仿宋"/>
          <w:b/>
          <w:bCs/>
          <w:sz w:val="32"/>
          <w:szCs w:val="32"/>
        </w:rPr>
        <w:t>（三）复试流程</w:t>
      </w:r>
    </w:p>
    <w:p w14:paraId="0679EB41">
      <w:pPr>
        <w:pStyle w:val="7"/>
        <w:spacing w:before="0" w:beforeAutospacing="0" w:after="0" w:afterAutospacing="0" w:line="5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复试包括外国语听力与口语测试、业务课笔试和同等学力加试、综合素质面试三个环节。</w:t>
      </w:r>
    </w:p>
    <w:p w14:paraId="2548A865">
      <w:pPr>
        <w:pStyle w:val="7"/>
        <w:spacing w:before="0" w:beforeAutospacing="0" w:after="0" w:afterAutospacing="0" w:line="500" w:lineRule="exact"/>
        <w:jc w:val="both"/>
        <w:rPr>
          <w:rFonts w:ascii="仿宋" w:hAnsi="仿宋" w:eastAsia="仿宋" w:cs="仿宋"/>
          <w:b/>
          <w:bCs/>
          <w:sz w:val="32"/>
          <w:szCs w:val="32"/>
        </w:rPr>
      </w:pPr>
      <w:r>
        <w:rPr>
          <w:rFonts w:hint="eastAsia" w:ascii="仿宋" w:hAnsi="仿宋" w:eastAsia="仿宋" w:cs="仿宋"/>
          <w:b/>
          <w:bCs/>
          <w:sz w:val="32"/>
          <w:szCs w:val="32"/>
        </w:rPr>
        <w:t>1.外国语听力与口语测试</w:t>
      </w:r>
    </w:p>
    <w:p w14:paraId="3ADBEE91">
      <w:pPr>
        <w:pStyle w:val="7"/>
        <w:spacing w:before="0" w:beforeAutospacing="0" w:after="0" w:afterAutospacing="0" w:line="500" w:lineRule="exact"/>
        <w:jc w:val="both"/>
        <w:rPr>
          <w:rFonts w:ascii="仿宋" w:hAnsi="仿宋" w:eastAsia="仿宋" w:cs="仿宋"/>
          <w:sz w:val="32"/>
          <w:szCs w:val="32"/>
        </w:rPr>
      </w:pPr>
      <w:r>
        <w:rPr>
          <w:rFonts w:hint="eastAsia" w:ascii="仿宋" w:hAnsi="仿宋" w:eastAsia="仿宋" w:cs="仿宋"/>
          <w:sz w:val="32"/>
          <w:szCs w:val="32"/>
        </w:rPr>
        <w:t>（1）考试内容</w:t>
      </w:r>
    </w:p>
    <w:p w14:paraId="745BDA2F">
      <w:pPr>
        <w:pStyle w:val="7"/>
        <w:spacing w:before="0" w:beforeAutospacing="0" w:after="0" w:afterAutospacing="0" w:line="5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每位考生口试时间5分钟，包括英文自我介绍（</w:t>
      </w:r>
      <w:r>
        <w:rPr>
          <w:rFonts w:ascii="仿宋" w:hAnsi="仿宋" w:eastAsia="仿宋" w:cs="仿宋"/>
          <w:sz w:val="32"/>
          <w:szCs w:val="32"/>
        </w:rPr>
        <w:t>2</w:t>
      </w:r>
      <w:r>
        <w:rPr>
          <w:rFonts w:hint="eastAsia" w:ascii="仿宋" w:hAnsi="仿宋" w:eastAsia="仿宋" w:cs="仿宋"/>
          <w:sz w:val="32"/>
          <w:szCs w:val="32"/>
        </w:rPr>
        <w:t>分钟）、话题准备（1分钟）、话题陈述（</w:t>
      </w:r>
      <w:r>
        <w:rPr>
          <w:rFonts w:ascii="仿宋" w:hAnsi="仿宋" w:eastAsia="仿宋" w:cs="仿宋"/>
          <w:sz w:val="32"/>
          <w:szCs w:val="32"/>
        </w:rPr>
        <w:t>2</w:t>
      </w:r>
      <w:r>
        <w:rPr>
          <w:rFonts w:hint="eastAsia" w:ascii="仿宋" w:hAnsi="仿宋" w:eastAsia="仿宋" w:cs="仿宋"/>
          <w:sz w:val="32"/>
          <w:szCs w:val="32"/>
        </w:rPr>
        <w:t>分钟）。</w:t>
      </w:r>
    </w:p>
    <w:p w14:paraId="398F4411">
      <w:pPr>
        <w:pStyle w:val="7"/>
        <w:spacing w:before="0" w:beforeAutospacing="0" w:after="0" w:afterAutospacing="0" w:line="500" w:lineRule="exact"/>
        <w:jc w:val="both"/>
        <w:rPr>
          <w:rFonts w:ascii="仿宋" w:hAnsi="仿宋" w:eastAsia="仿宋" w:cs="仿宋"/>
          <w:sz w:val="32"/>
          <w:szCs w:val="32"/>
        </w:rPr>
      </w:pPr>
      <w:r>
        <w:rPr>
          <w:rFonts w:hint="eastAsia" w:ascii="仿宋" w:hAnsi="仿宋" w:eastAsia="仿宋" w:cs="仿宋"/>
          <w:sz w:val="32"/>
          <w:szCs w:val="32"/>
        </w:rPr>
        <w:t>（2）考试流程</w:t>
      </w:r>
    </w:p>
    <w:p w14:paraId="160CEDF0">
      <w:pPr>
        <w:pStyle w:val="7"/>
        <w:spacing w:before="0" w:beforeAutospacing="0" w:after="0" w:afterAutospacing="0" w:line="5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考官以中文向考生确认其姓名、准考证号等个人信息。确认无误后，考生进行英文自我介绍。</w:t>
      </w:r>
    </w:p>
    <w:p w14:paraId="2C9D7FBC">
      <w:pPr>
        <w:pStyle w:val="7"/>
        <w:spacing w:before="0" w:beforeAutospacing="0" w:after="0" w:afterAutospacing="0" w:line="5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考生英文自我介绍结束后，考生现场从抽取的三道考题中选择一道口试话题，考生准备完毕后口试话题后开始口试计时。口试话题类似于：</w:t>
      </w:r>
    </w:p>
    <w:p w14:paraId="014D9239">
      <w:pPr>
        <w:pStyle w:val="7"/>
        <w:spacing w:before="0" w:beforeAutospacing="0" w:after="0" w:afterAutospacing="0" w:line="500" w:lineRule="exact"/>
        <w:ind w:firstLine="960" w:firstLineChars="400"/>
        <w:rPr>
          <w:rFonts w:ascii="仿宋" w:hAnsi="仿宋" w:eastAsia="仿宋" w:cs="仿宋"/>
        </w:rPr>
      </w:pPr>
      <w:r>
        <w:rPr>
          <w:rFonts w:ascii="仿宋" w:hAnsi="仿宋" w:eastAsia="仿宋" w:cs="仿宋"/>
        </w:rPr>
        <w:t>What is your understanding of the principle of XXXX?</w:t>
      </w:r>
    </w:p>
    <w:p w14:paraId="6C856321">
      <w:pPr>
        <w:pStyle w:val="7"/>
        <w:spacing w:before="0" w:beforeAutospacing="0" w:after="0" w:afterAutospacing="0" w:line="500" w:lineRule="exact"/>
        <w:ind w:firstLine="960" w:firstLineChars="400"/>
        <w:rPr>
          <w:rFonts w:ascii="仿宋" w:hAnsi="仿宋" w:eastAsia="仿宋" w:cs="仿宋"/>
        </w:rPr>
      </w:pPr>
      <w:r>
        <w:rPr>
          <w:rFonts w:ascii="仿宋" w:hAnsi="仿宋" w:eastAsia="仿宋" w:cs="仿宋"/>
        </w:rPr>
        <w:t>How to deal with XXXX with law?</w:t>
      </w:r>
    </w:p>
    <w:p w14:paraId="7DE3F2E0">
      <w:pPr>
        <w:pStyle w:val="7"/>
        <w:spacing w:before="0" w:beforeAutospacing="0" w:after="0" w:afterAutospacing="0" w:line="500" w:lineRule="exact"/>
        <w:ind w:firstLine="960" w:firstLineChars="400"/>
        <w:jc w:val="both"/>
        <w:rPr>
          <w:rFonts w:ascii="仿宋" w:hAnsi="仿宋" w:eastAsia="仿宋" w:cs="仿宋"/>
        </w:rPr>
      </w:pPr>
      <w:r>
        <w:rPr>
          <w:rFonts w:ascii="仿宋" w:hAnsi="仿宋" w:eastAsia="仿宋" w:cs="仿宋"/>
        </w:rPr>
        <w:t>What do you think of XXXX in social lives?</w:t>
      </w:r>
    </w:p>
    <w:p w14:paraId="3435D904">
      <w:pPr>
        <w:pStyle w:val="7"/>
        <w:tabs>
          <w:tab w:val="left" w:pos="312"/>
        </w:tabs>
        <w:spacing w:before="0" w:beforeAutospacing="0" w:after="0" w:afterAutospacing="0" w:line="500" w:lineRule="exact"/>
        <w:jc w:val="both"/>
        <w:rPr>
          <w:rFonts w:ascii="仿宋" w:hAnsi="仿宋" w:eastAsia="仿宋" w:cs="仿宋"/>
          <w:b/>
          <w:bCs/>
          <w:sz w:val="32"/>
          <w:szCs w:val="32"/>
        </w:rPr>
      </w:pPr>
      <w:r>
        <w:rPr>
          <w:rFonts w:hint="eastAsia" w:ascii="仿宋" w:hAnsi="仿宋" w:eastAsia="仿宋" w:cs="仿宋"/>
          <w:b/>
          <w:bCs/>
          <w:sz w:val="32"/>
          <w:szCs w:val="32"/>
        </w:rPr>
        <w:t>2</w:t>
      </w:r>
      <w:r>
        <w:rPr>
          <w:rFonts w:ascii="仿宋" w:hAnsi="仿宋" w:eastAsia="仿宋" w:cs="仿宋"/>
          <w:b/>
          <w:bCs/>
          <w:sz w:val="32"/>
          <w:szCs w:val="32"/>
        </w:rPr>
        <w:t>.</w:t>
      </w:r>
      <w:r>
        <w:rPr>
          <w:rFonts w:hint="eastAsia" w:ascii="仿宋" w:hAnsi="仿宋" w:eastAsia="仿宋" w:cs="仿宋"/>
          <w:b/>
          <w:bCs/>
          <w:sz w:val="32"/>
          <w:szCs w:val="32"/>
        </w:rPr>
        <w:t>专业基础考核与同等学力加试</w:t>
      </w:r>
    </w:p>
    <w:p w14:paraId="5F025EF0">
      <w:pPr>
        <w:pStyle w:val="7"/>
        <w:spacing w:before="0" w:beforeAutospacing="0" w:after="0" w:afterAutospacing="0" w:line="5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按照学院的安排，在指定的时间，在指定的教室，指定的区域开展笔试，考试时请将准考证、身份证放置于桌子的前面偏右位置，方便监考人员验证身份，考试结束后请将试卷交至监考人员手中，并就所考试内容不得外传。</w:t>
      </w:r>
    </w:p>
    <w:p w14:paraId="1A299ADD">
      <w:pPr>
        <w:pStyle w:val="7"/>
        <w:tabs>
          <w:tab w:val="left" w:pos="312"/>
        </w:tabs>
        <w:spacing w:before="0" w:beforeAutospacing="0" w:after="0" w:afterAutospacing="0" w:line="500" w:lineRule="exact"/>
        <w:jc w:val="both"/>
        <w:rPr>
          <w:rFonts w:ascii="仿宋" w:hAnsi="仿宋" w:eastAsia="仿宋" w:cs="仿宋"/>
          <w:b/>
          <w:bCs/>
          <w:sz w:val="32"/>
          <w:szCs w:val="32"/>
        </w:rPr>
      </w:pPr>
      <w:r>
        <w:rPr>
          <w:rFonts w:hint="eastAsia" w:ascii="仿宋" w:hAnsi="仿宋" w:eastAsia="仿宋" w:cs="仿宋"/>
          <w:b/>
          <w:bCs/>
          <w:sz w:val="32"/>
          <w:szCs w:val="32"/>
        </w:rPr>
        <w:t>3</w:t>
      </w:r>
      <w:r>
        <w:rPr>
          <w:rFonts w:ascii="仿宋" w:hAnsi="仿宋" w:eastAsia="仿宋" w:cs="仿宋"/>
          <w:b/>
          <w:bCs/>
          <w:sz w:val="32"/>
          <w:szCs w:val="32"/>
        </w:rPr>
        <w:t>.</w:t>
      </w:r>
      <w:r>
        <w:rPr>
          <w:rFonts w:hint="eastAsia" w:ascii="仿宋" w:hAnsi="仿宋" w:eastAsia="仿宋" w:cs="仿宋"/>
          <w:b/>
          <w:bCs/>
          <w:sz w:val="32"/>
          <w:szCs w:val="32"/>
        </w:rPr>
        <w:t>综合素质考核</w:t>
      </w:r>
    </w:p>
    <w:p w14:paraId="61B240CE">
      <w:pPr>
        <w:pStyle w:val="7"/>
        <w:tabs>
          <w:tab w:val="left" w:pos="312"/>
        </w:tabs>
        <w:spacing w:before="0" w:beforeAutospacing="0" w:after="0" w:afterAutospacing="0" w:line="500" w:lineRule="exact"/>
        <w:jc w:val="both"/>
        <w:rPr>
          <w:rFonts w:ascii="仿宋" w:hAnsi="仿宋" w:eastAsia="仿宋" w:cs="仿宋"/>
          <w:b/>
          <w:bCs/>
          <w:sz w:val="32"/>
          <w:szCs w:val="32"/>
        </w:rPr>
      </w:pPr>
      <w:r>
        <w:rPr>
          <w:rFonts w:hint="eastAsia" w:ascii="仿宋" w:hAnsi="仿宋" w:eastAsia="仿宋" w:cs="仿宋"/>
          <w:b/>
          <w:bCs/>
          <w:sz w:val="32"/>
          <w:szCs w:val="32"/>
        </w:rPr>
        <w:t>（1）考前准备</w:t>
      </w:r>
    </w:p>
    <w:p w14:paraId="5F10F9D3">
      <w:pPr>
        <w:pStyle w:val="7"/>
        <w:spacing w:before="0" w:beforeAutospacing="0" w:after="0" w:afterAutospacing="0" w:line="5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进入法学院通知QQ群,然后根据工作人员的安排进入各复试小组群，修改本人的群昵称为“专业+姓名+电话号码”的格式。</w:t>
      </w:r>
    </w:p>
    <w:p w14:paraId="4A0A7D8E">
      <w:pPr>
        <w:pStyle w:val="7"/>
        <w:spacing w:before="0" w:beforeAutospacing="0" w:after="0" w:afterAutospacing="0" w:line="5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考试前15分钟开始点到，请学生提前进入教室，按通知做好应试准备；</w:t>
      </w:r>
    </w:p>
    <w:p w14:paraId="5315E9AB">
      <w:pPr>
        <w:pStyle w:val="7"/>
        <w:spacing w:before="0" w:beforeAutospacing="0" w:after="0" w:afterAutospacing="0" w:line="500" w:lineRule="exact"/>
        <w:jc w:val="both"/>
        <w:rPr>
          <w:rFonts w:ascii="仿宋" w:hAnsi="仿宋" w:eastAsia="仿宋" w:cs="仿宋"/>
          <w:b/>
          <w:bCs/>
          <w:sz w:val="32"/>
          <w:szCs w:val="32"/>
        </w:rPr>
      </w:pPr>
      <w:r>
        <w:rPr>
          <w:rFonts w:hint="eastAsia" w:ascii="仿宋" w:hAnsi="仿宋" w:eastAsia="仿宋" w:cs="仿宋"/>
          <w:b/>
          <w:bCs/>
          <w:sz w:val="32"/>
          <w:szCs w:val="32"/>
        </w:rPr>
        <w:t>（</w:t>
      </w:r>
      <w:r>
        <w:rPr>
          <w:rFonts w:ascii="仿宋" w:hAnsi="仿宋" w:eastAsia="仿宋" w:cs="仿宋"/>
          <w:b/>
          <w:bCs/>
          <w:sz w:val="32"/>
          <w:szCs w:val="32"/>
        </w:rPr>
        <w:t>2</w:t>
      </w:r>
      <w:r>
        <w:rPr>
          <w:rFonts w:hint="eastAsia" w:ascii="仿宋" w:hAnsi="仿宋" w:eastAsia="仿宋" w:cs="仿宋"/>
          <w:b/>
          <w:bCs/>
          <w:sz w:val="32"/>
          <w:szCs w:val="32"/>
        </w:rPr>
        <w:t>）考试范围</w:t>
      </w:r>
    </w:p>
    <w:p w14:paraId="500F2FD3">
      <w:pPr>
        <w:pStyle w:val="7"/>
        <w:spacing w:before="0" w:beforeAutospacing="0" w:after="0" w:afterAutospacing="0" w:line="500" w:lineRule="exact"/>
        <w:ind w:firstLine="645"/>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每位考生需回答二道试题。在考试现场从题库中抽取三道题目，选择其中的两道题目作答。</w:t>
      </w:r>
    </w:p>
    <w:p w14:paraId="33B27679">
      <w:pPr>
        <w:pStyle w:val="7"/>
        <w:spacing w:before="0" w:beforeAutospacing="0" w:after="0" w:afterAutospacing="0" w:line="500" w:lineRule="exact"/>
        <w:ind w:firstLine="645"/>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法学硕士面试时，题库范围与复试笔试的科目范围相同。</w:t>
      </w:r>
    </w:p>
    <w:p w14:paraId="5F2E726C">
      <w:pPr>
        <w:pStyle w:val="7"/>
        <w:spacing w:before="0" w:beforeAutospacing="0" w:after="0" w:afterAutospacing="0" w:line="500" w:lineRule="exact"/>
        <w:jc w:val="both"/>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法律硕士面试时，题库范围覆盖民法、刑法、中国宪法、法理学、中国法制史五个方向。</w:t>
      </w:r>
    </w:p>
    <w:p w14:paraId="365CFF5D">
      <w:pPr>
        <w:pStyle w:val="7"/>
        <w:spacing w:before="0" w:beforeAutospacing="0" w:after="0" w:afterAutospacing="0" w:line="500" w:lineRule="exact"/>
        <w:jc w:val="both"/>
        <w:rPr>
          <w:rFonts w:ascii="仿宋" w:hAnsi="仿宋" w:eastAsia="仿宋" w:cs="仿宋"/>
          <w:b/>
          <w:bCs/>
          <w:sz w:val="32"/>
          <w:szCs w:val="32"/>
        </w:rPr>
      </w:pPr>
      <w:r>
        <w:rPr>
          <w:rFonts w:hint="eastAsia" w:ascii="仿宋" w:hAnsi="仿宋" w:eastAsia="仿宋" w:cs="仿宋"/>
          <w:b/>
          <w:bCs/>
          <w:sz w:val="32"/>
          <w:szCs w:val="32"/>
        </w:rPr>
        <w:t>（3）考试过程</w:t>
      </w:r>
    </w:p>
    <w:p w14:paraId="56BE880C">
      <w:pPr>
        <w:pStyle w:val="7"/>
        <w:spacing w:before="0" w:beforeAutospacing="0" w:after="0" w:afterAutospacing="0" w:line="5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学术类硕士的专业基础考核与综合素质考核在一个考场中完成。每位考生复试共有</w:t>
      </w:r>
      <w:r>
        <w:rPr>
          <w:rFonts w:hint="eastAsia" w:ascii="仿宋" w:hAnsi="仿宋" w:eastAsia="仿宋" w:cs="仿宋"/>
          <w:color w:val="000000" w:themeColor="text1"/>
          <w:sz w:val="32"/>
          <w:szCs w:val="32"/>
          <w14:textFill>
            <w14:solidFill>
              <w14:schemeClr w14:val="tx1"/>
            </w14:solidFill>
          </w14:textFill>
        </w:rPr>
        <w:t>不少于20分钟时</w:t>
      </w:r>
      <w:r>
        <w:rPr>
          <w:rFonts w:hint="eastAsia" w:ascii="仿宋" w:hAnsi="仿宋" w:eastAsia="仿宋" w:cs="仿宋"/>
          <w:sz w:val="32"/>
          <w:szCs w:val="32"/>
        </w:rPr>
        <w:t>间的答题（含自我介绍、思考问题等）。综合素质考核时，考生先进行自我介绍（2分钟以内），然后从推送的三道综合素质考核题目中选择二道答题，对每道题目，考生有2分钟时间准备。考生</w:t>
      </w:r>
      <w:r>
        <w:rPr>
          <w:rFonts w:ascii="仿宋" w:hAnsi="仿宋" w:eastAsia="仿宋" w:cs="仿宋"/>
          <w:sz w:val="32"/>
          <w:szCs w:val="32"/>
        </w:rPr>
        <w:t>2</w:t>
      </w:r>
      <w:r>
        <w:rPr>
          <w:rFonts w:hint="eastAsia" w:ascii="仿宋" w:hAnsi="仿宋" w:eastAsia="仿宋" w:cs="仿宋"/>
          <w:sz w:val="32"/>
          <w:szCs w:val="32"/>
        </w:rPr>
        <w:t>0分钟时间内完成答题的可以提前离场。</w:t>
      </w:r>
    </w:p>
    <w:p w14:paraId="20421F28">
      <w:pPr>
        <w:pStyle w:val="7"/>
        <w:spacing w:before="0" w:beforeAutospacing="0" w:after="0" w:afterAutospacing="0" w:line="500" w:lineRule="exact"/>
        <w:ind w:firstLine="640" w:firstLineChars="200"/>
        <w:jc w:val="both"/>
        <w:rPr>
          <w:rFonts w:ascii="仿宋" w:hAnsi="仿宋" w:eastAsia="仿宋" w:cs="仿宋"/>
          <w:sz w:val="32"/>
          <w:szCs w:val="32"/>
        </w:rPr>
      </w:pPr>
      <w:r>
        <w:rPr>
          <w:rFonts w:hint="eastAsia" w:ascii="仿宋" w:hAnsi="仿宋" w:eastAsia="仿宋" w:cs="仿宋"/>
          <w:sz w:val="32"/>
          <w:szCs w:val="32"/>
        </w:rPr>
        <w:t>评委独立评分，针对考生的专业基础素质给出分数。</w:t>
      </w:r>
    </w:p>
    <w:p w14:paraId="14762487">
      <w:pPr>
        <w:pStyle w:val="7"/>
        <w:spacing w:before="0" w:beforeAutospacing="0" w:after="0" w:afterAutospacing="0" w:line="500" w:lineRule="exact"/>
        <w:jc w:val="both"/>
        <w:rPr>
          <w:rFonts w:ascii="仿宋" w:hAnsi="仿宋" w:eastAsia="仿宋" w:cs="仿宋"/>
          <w:b/>
          <w:bCs/>
          <w:sz w:val="32"/>
          <w:szCs w:val="32"/>
        </w:rPr>
      </w:pPr>
      <w:r>
        <w:rPr>
          <w:rFonts w:hint="eastAsia" w:ascii="仿宋" w:hAnsi="仿宋" w:eastAsia="仿宋" w:cs="仿宋"/>
          <w:b/>
          <w:bCs/>
          <w:sz w:val="32"/>
          <w:szCs w:val="32"/>
        </w:rPr>
        <w:t>（4）同等学历加试</w:t>
      </w:r>
    </w:p>
    <w:p w14:paraId="12BBA393">
      <w:pPr>
        <w:pStyle w:val="7"/>
        <w:spacing w:before="0" w:beforeAutospacing="0" w:after="0" w:afterAutospacing="0" w:line="500" w:lineRule="exact"/>
        <w:ind w:firstLine="640" w:firstLineChars="200"/>
        <w:rPr>
          <w:rFonts w:ascii="仿宋" w:hAnsi="仿宋" w:eastAsia="仿宋" w:cs="仿宋"/>
          <w:sz w:val="32"/>
          <w:szCs w:val="32"/>
        </w:rPr>
      </w:pPr>
      <w:r>
        <w:rPr>
          <w:rFonts w:hint="eastAsia" w:ascii="仿宋" w:hAnsi="仿宋" w:eastAsia="仿宋" w:cs="仿宋"/>
          <w:sz w:val="32"/>
          <w:szCs w:val="32"/>
        </w:rPr>
        <w:t>同等学力加试考生，请与陈亮老师联系（联系电话：83969437），获得加试时间地点安排。</w:t>
      </w:r>
    </w:p>
    <w:p w14:paraId="276D6278">
      <w:pPr>
        <w:pStyle w:val="7"/>
        <w:spacing w:before="0" w:beforeAutospacing="0" w:after="0" w:afterAutospacing="0" w:line="500" w:lineRule="exact"/>
        <w:jc w:val="both"/>
        <w:rPr>
          <w:rFonts w:ascii="黑体" w:hAnsi="黑体" w:eastAsia="黑体" w:cs="黑体"/>
          <w:b/>
          <w:bCs/>
          <w:sz w:val="32"/>
          <w:szCs w:val="32"/>
        </w:rPr>
      </w:pPr>
      <w:r>
        <w:rPr>
          <w:rFonts w:hint="eastAsia" w:ascii="黑体" w:hAnsi="黑体" w:eastAsia="黑体" w:cs="黑体"/>
          <w:b/>
          <w:bCs/>
          <w:sz w:val="32"/>
          <w:szCs w:val="32"/>
        </w:rPr>
        <w:t>六、复试成绩计算及录取原则</w:t>
      </w:r>
    </w:p>
    <w:p w14:paraId="2A56ADAB">
      <w:pPr>
        <w:widowControl/>
        <w:spacing w:line="500" w:lineRule="exact"/>
        <w:rPr>
          <w:rFonts w:ascii="仿宋" w:hAnsi="仿宋" w:eastAsia="仿宋" w:cs="仿宋"/>
          <w:sz w:val="32"/>
          <w:szCs w:val="32"/>
        </w:rPr>
      </w:pPr>
      <w:r>
        <w:rPr>
          <w:rFonts w:hint="eastAsia" w:ascii="仿宋" w:hAnsi="仿宋" w:eastAsia="仿宋" w:cs="仿宋"/>
          <w:sz w:val="32"/>
          <w:szCs w:val="32"/>
        </w:rPr>
        <w:t>（一）一志愿考生总成绩=（初试分数/5）*60%+(复试成绩/2.5)*40%；</w:t>
      </w:r>
    </w:p>
    <w:p w14:paraId="7CD5A2A3">
      <w:pPr>
        <w:widowControl/>
        <w:spacing w:line="50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说明：</w:t>
      </w:r>
      <w:r>
        <w:rPr>
          <w:rFonts w:hint="eastAsia" w:ascii="仿宋" w:hAnsi="仿宋" w:eastAsia="仿宋" w:cs="仿宋"/>
          <w:sz w:val="32"/>
          <w:szCs w:val="32"/>
        </w:rPr>
        <w:t>复试成绩总分为250分。其中，专业基础考核满分为100分，综合素质满分为100分；外国语听力与口语测试满分为50分。</w:t>
      </w:r>
    </w:p>
    <w:p w14:paraId="50B4D8DF">
      <w:pPr>
        <w:widowControl/>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调剂志愿考生：（初试分数/初试总分值）*50+（复试总分/250）*50</w:t>
      </w:r>
    </w:p>
    <w:p w14:paraId="073965BE">
      <w:pPr>
        <w:widowControl/>
        <w:spacing w:line="500" w:lineRule="exact"/>
        <w:ind w:left="210" w:leftChars="100"/>
        <w:rPr>
          <w:rFonts w:ascii="仿宋" w:hAnsi="仿宋" w:eastAsia="仿宋" w:cs="仿宋"/>
          <w:sz w:val="32"/>
          <w:szCs w:val="32"/>
        </w:rPr>
      </w:pPr>
      <w:r>
        <w:rPr>
          <w:rFonts w:hint="eastAsia" w:ascii="仿宋" w:hAnsi="仿宋" w:eastAsia="仿宋" w:cs="仿宋"/>
          <w:sz w:val="32"/>
          <w:szCs w:val="32"/>
        </w:rPr>
        <w:t>（二）专业基础考核、综合素质及格分均为60分，任一科目不及格者不予录取。录取时分专业、学习方式根据考生的总成绩排序，依次录取，专项计划单列。未参加外国语听力与口语测试者，不予录取。</w:t>
      </w:r>
    </w:p>
    <w:p w14:paraId="7B8CFA5F">
      <w:pPr>
        <w:widowControl/>
        <w:spacing w:line="500" w:lineRule="exact"/>
        <w:ind w:left="210" w:leftChars="100"/>
        <w:rPr>
          <w:rFonts w:ascii="仿宋" w:hAnsi="仿宋" w:eastAsia="仿宋" w:cs="仿宋"/>
          <w:sz w:val="32"/>
          <w:szCs w:val="32"/>
        </w:rPr>
      </w:pPr>
      <w:r>
        <w:rPr>
          <w:rFonts w:hint="eastAsia" w:ascii="仿宋" w:hAnsi="仿宋" w:eastAsia="仿宋" w:cs="仿宋"/>
          <w:sz w:val="32"/>
          <w:szCs w:val="32"/>
        </w:rPr>
        <w:t>（三）同等学力的两门加试业务课成绩，只设合格线（60分），不及格者不予录取，不计入复试总成绩。</w:t>
      </w:r>
    </w:p>
    <w:p w14:paraId="0DB3F55B">
      <w:pPr>
        <w:numPr>
          <w:ilvl w:val="0"/>
          <w:numId w:val="2"/>
        </w:numPr>
        <w:spacing w:line="500" w:lineRule="exact"/>
        <w:rPr>
          <w:rFonts w:ascii="黑体" w:hAnsi="黑体" w:eastAsia="黑体" w:cs="黑体"/>
          <w:b/>
          <w:bCs/>
          <w:sz w:val="32"/>
          <w:szCs w:val="32"/>
        </w:rPr>
      </w:pPr>
      <w:r>
        <w:rPr>
          <w:rFonts w:hint="eastAsia" w:ascii="黑体" w:hAnsi="黑体" w:eastAsia="黑体" w:cs="黑体"/>
          <w:b/>
          <w:bCs/>
          <w:sz w:val="32"/>
          <w:szCs w:val="32"/>
        </w:rPr>
        <w:t>监督工作</w:t>
      </w:r>
    </w:p>
    <w:p w14:paraId="02930BAF">
      <w:pPr>
        <w:widowControl/>
        <w:spacing w:line="500" w:lineRule="exact"/>
        <w:rPr>
          <w:rFonts w:ascii="仿宋" w:hAnsi="仿宋" w:eastAsia="仿宋" w:cs="仿宋"/>
          <w:sz w:val="32"/>
          <w:szCs w:val="32"/>
        </w:rPr>
      </w:pPr>
      <w:r>
        <w:rPr>
          <w:rFonts w:hint="eastAsia" w:ascii="仿宋" w:hAnsi="仿宋" w:eastAsia="仿宋" w:cs="仿宋"/>
          <w:sz w:val="32"/>
          <w:szCs w:val="32"/>
        </w:rPr>
        <w:t>（一）试题保密。复试内容属于国家机密，复试过程禁止录音、录像和录屏，禁止将相关信息泄露和公布。考生如有泄密行为，视为违纪，取消考试成绩，情节严重的将按相关法律法规进行处罚。</w:t>
      </w:r>
    </w:p>
    <w:p w14:paraId="6B55F2EA">
      <w:pPr>
        <w:tabs>
          <w:tab w:val="left" w:pos="1498"/>
        </w:tabs>
        <w:spacing w:line="500" w:lineRule="exact"/>
        <w:jc w:val="left"/>
        <w:rPr>
          <w:rFonts w:ascii="仿宋" w:hAnsi="仿宋" w:eastAsia="仿宋" w:cs="仿宋"/>
          <w:sz w:val="32"/>
          <w:szCs w:val="32"/>
        </w:rPr>
      </w:pPr>
      <w:r>
        <w:rPr>
          <w:rFonts w:hint="eastAsia" w:ascii="仿宋" w:hAnsi="仿宋" w:eastAsia="仿宋" w:cs="仿宋"/>
          <w:sz w:val="32"/>
          <w:szCs w:val="32"/>
        </w:rPr>
        <w:t>（二）复试考生如有代考、作弊等违规行为，复试小组一经发现，通过学院上报研究生院，按相关法律法规进行处罚。</w:t>
      </w:r>
    </w:p>
    <w:p w14:paraId="5001089A">
      <w:pPr>
        <w:widowControl/>
        <w:spacing w:line="500" w:lineRule="exact"/>
        <w:rPr>
          <w:rFonts w:ascii="仿宋" w:hAnsi="仿宋" w:eastAsia="仿宋" w:cs="仿宋"/>
          <w:sz w:val="32"/>
          <w:szCs w:val="32"/>
        </w:rPr>
      </w:pPr>
      <w:r>
        <w:rPr>
          <w:rFonts w:hint="eastAsia" w:ascii="仿宋" w:hAnsi="仿宋" w:eastAsia="仿宋" w:cs="仿宋"/>
          <w:sz w:val="32"/>
          <w:szCs w:val="32"/>
        </w:rPr>
        <w:t>（三）复试领导小组组织对考生的复试考核，提出拟录取考生名单，受理考生咨询、申诉并进行解释。申诉电话</w:t>
      </w:r>
      <w:bookmarkStart w:id="1" w:name="Text55"/>
      <w:r>
        <w:rPr>
          <w:rFonts w:hint="eastAsia" w:ascii="仿宋" w:hAnsi="仿宋" w:eastAsia="仿宋" w:cs="仿宋"/>
          <w:sz w:val="32"/>
          <w:szCs w:val="32"/>
        </w:rPr>
        <w:t>：</w:t>
      </w:r>
      <w:bookmarkEnd w:id="1"/>
      <w:r>
        <w:rPr>
          <w:rFonts w:hint="eastAsia" w:ascii="仿宋" w:hAnsi="仿宋" w:eastAsia="仿宋" w:cs="仿宋"/>
          <w:sz w:val="32"/>
          <w:szCs w:val="32"/>
        </w:rPr>
        <w:t>0791-83969437，申诉邮箱：6515455@qq.com。</w:t>
      </w:r>
    </w:p>
    <w:p w14:paraId="3BC504E6">
      <w:pPr>
        <w:widowControl/>
        <w:spacing w:line="500" w:lineRule="exact"/>
        <w:ind w:firstLine="640" w:firstLineChars="200"/>
        <w:jc w:val="right"/>
        <w:rPr>
          <w:rFonts w:ascii="仿宋" w:hAnsi="仿宋" w:eastAsia="仿宋" w:cs="仿宋"/>
          <w:sz w:val="32"/>
          <w:szCs w:val="32"/>
        </w:rPr>
      </w:pPr>
    </w:p>
    <w:p w14:paraId="5379C2B3">
      <w:pPr>
        <w:widowControl/>
        <w:spacing w:line="500" w:lineRule="exact"/>
        <w:ind w:firstLine="640" w:firstLineChars="200"/>
        <w:jc w:val="right"/>
        <w:rPr>
          <w:rFonts w:ascii="仿宋" w:hAnsi="仿宋" w:eastAsia="仿宋" w:cs="仿宋"/>
          <w:sz w:val="32"/>
          <w:szCs w:val="32"/>
        </w:rPr>
      </w:pPr>
      <w:r>
        <w:rPr>
          <w:rFonts w:hint="eastAsia" w:ascii="仿宋" w:hAnsi="仿宋" w:eastAsia="仿宋" w:cs="仿宋"/>
          <w:sz w:val="32"/>
          <w:szCs w:val="32"/>
        </w:rPr>
        <w:t>南昌大学法学院</w:t>
      </w:r>
    </w:p>
    <w:p w14:paraId="412DEFC3">
      <w:pPr>
        <w:widowControl/>
        <w:spacing w:line="500" w:lineRule="exact"/>
        <w:ind w:firstLine="640" w:firstLineChars="200"/>
        <w:jc w:val="right"/>
        <w:rPr>
          <w:rFonts w:ascii="仿宋" w:hAnsi="仿宋" w:eastAsia="仿宋" w:cs="仿宋"/>
          <w:sz w:val="32"/>
          <w:szCs w:val="32"/>
        </w:rPr>
      </w:pPr>
      <w:r>
        <w:rPr>
          <w:rFonts w:hint="eastAsia" w:ascii="仿宋" w:hAnsi="仿宋" w:eastAsia="仿宋" w:cs="仿宋"/>
          <w:sz w:val="32"/>
          <w:szCs w:val="32"/>
        </w:rPr>
        <w:t>2</w:t>
      </w:r>
      <w:r>
        <w:rPr>
          <w:rFonts w:ascii="仿宋" w:hAnsi="仿宋" w:eastAsia="仿宋" w:cs="仿宋"/>
          <w:sz w:val="32"/>
          <w:szCs w:val="32"/>
        </w:rPr>
        <w:t>02</w:t>
      </w:r>
      <w:r>
        <w:rPr>
          <w:rFonts w:hint="eastAsia" w:ascii="仿宋" w:hAnsi="仿宋" w:eastAsia="仿宋" w:cs="仿宋"/>
          <w:sz w:val="32"/>
          <w:szCs w:val="32"/>
        </w:rPr>
        <w:t>3年3月2</w:t>
      </w:r>
      <w:r>
        <w:rPr>
          <w:rFonts w:ascii="仿宋" w:hAnsi="仿宋" w:eastAsia="仿宋" w:cs="仿宋"/>
          <w:sz w:val="32"/>
          <w:szCs w:val="32"/>
        </w:rPr>
        <w:t>3</w:t>
      </w:r>
      <w:r>
        <w:rPr>
          <w:rFonts w:hint="eastAsia" w:ascii="仿宋" w:hAnsi="仿宋" w:eastAsia="仿宋" w:cs="仿宋"/>
          <w:sz w:val="32"/>
          <w:szCs w:val="32"/>
        </w:rPr>
        <w:t>日</w:t>
      </w:r>
    </w:p>
    <w:sectPr>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EDE6A0"/>
    <w:multiLevelType w:val="singleLevel"/>
    <w:tmpl w:val="2CEDE6A0"/>
    <w:lvl w:ilvl="0" w:tentative="0">
      <w:start w:val="7"/>
      <w:numFmt w:val="chineseCounting"/>
      <w:suff w:val="nothing"/>
      <w:lvlText w:val="%1、"/>
      <w:lvlJc w:val="left"/>
      <w:rPr>
        <w:rFonts w:hint="eastAsia"/>
      </w:rPr>
    </w:lvl>
  </w:abstractNum>
  <w:abstractNum w:abstractNumId="1">
    <w:nsid w:val="3BA268EF"/>
    <w:multiLevelType w:val="multilevel"/>
    <w:tmpl w:val="3BA268EF"/>
    <w:lvl w:ilvl="0" w:tentative="0">
      <w:start w:val="1"/>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forms" w:enforcement="0"/>
  <w:defaultTabStop w:val="420"/>
  <w:drawingGridVerticalSpacing w:val="156"/>
  <w:doNotShadeFormData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UzZTUwYWEzM2IyZmU1MjI5OTFlM2M1ZTgyNmI3ZDUifQ=="/>
  </w:docVars>
  <w:rsids>
    <w:rsidRoot w:val="004438A2"/>
    <w:rsid w:val="0008328B"/>
    <w:rsid w:val="00094EB0"/>
    <w:rsid w:val="000A5579"/>
    <w:rsid w:val="000C509F"/>
    <w:rsid w:val="000D2941"/>
    <w:rsid w:val="000E62C6"/>
    <w:rsid w:val="00143D02"/>
    <w:rsid w:val="001B3179"/>
    <w:rsid w:val="001F18A3"/>
    <w:rsid w:val="001F5F62"/>
    <w:rsid w:val="0027764B"/>
    <w:rsid w:val="0028046F"/>
    <w:rsid w:val="00314506"/>
    <w:rsid w:val="003B15DA"/>
    <w:rsid w:val="003B740C"/>
    <w:rsid w:val="003D4131"/>
    <w:rsid w:val="003E2A90"/>
    <w:rsid w:val="004438A2"/>
    <w:rsid w:val="0045194A"/>
    <w:rsid w:val="00471D56"/>
    <w:rsid w:val="004F6270"/>
    <w:rsid w:val="0051361D"/>
    <w:rsid w:val="005201F0"/>
    <w:rsid w:val="005841A3"/>
    <w:rsid w:val="00590889"/>
    <w:rsid w:val="00596AF4"/>
    <w:rsid w:val="005C2E1E"/>
    <w:rsid w:val="00601EEB"/>
    <w:rsid w:val="00621C19"/>
    <w:rsid w:val="00652A1D"/>
    <w:rsid w:val="0069418C"/>
    <w:rsid w:val="006E582C"/>
    <w:rsid w:val="006F73EC"/>
    <w:rsid w:val="007110CA"/>
    <w:rsid w:val="00742E1C"/>
    <w:rsid w:val="00754542"/>
    <w:rsid w:val="00781027"/>
    <w:rsid w:val="00781550"/>
    <w:rsid w:val="007D3A14"/>
    <w:rsid w:val="007E5B06"/>
    <w:rsid w:val="008014ED"/>
    <w:rsid w:val="00817675"/>
    <w:rsid w:val="00841B08"/>
    <w:rsid w:val="00855CB6"/>
    <w:rsid w:val="008C1766"/>
    <w:rsid w:val="009021FA"/>
    <w:rsid w:val="00970D15"/>
    <w:rsid w:val="00990301"/>
    <w:rsid w:val="00996F1C"/>
    <w:rsid w:val="009A2D4B"/>
    <w:rsid w:val="009F10A0"/>
    <w:rsid w:val="00A32CD1"/>
    <w:rsid w:val="00A4570F"/>
    <w:rsid w:val="00A56B01"/>
    <w:rsid w:val="00AA4E16"/>
    <w:rsid w:val="00B222EB"/>
    <w:rsid w:val="00B269CE"/>
    <w:rsid w:val="00B32FF1"/>
    <w:rsid w:val="00B62E24"/>
    <w:rsid w:val="00B81E06"/>
    <w:rsid w:val="00B9145A"/>
    <w:rsid w:val="00BA02F5"/>
    <w:rsid w:val="00BE525F"/>
    <w:rsid w:val="00BF0D7F"/>
    <w:rsid w:val="00BF7966"/>
    <w:rsid w:val="00C00A26"/>
    <w:rsid w:val="00C621D7"/>
    <w:rsid w:val="00C879B2"/>
    <w:rsid w:val="00C90033"/>
    <w:rsid w:val="00CE2030"/>
    <w:rsid w:val="00CE28F5"/>
    <w:rsid w:val="00CF2EF8"/>
    <w:rsid w:val="00D2189B"/>
    <w:rsid w:val="00D838B3"/>
    <w:rsid w:val="00DD1C0B"/>
    <w:rsid w:val="00DE1BC8"/>
    <w:rsid w:val="00E749E3"/>
    <w:rsid w:val="00EA6C2D"/>
    <w:rsid w:val="00EB46C3"/>
    <w:rsid w:val="00EC06DB"/>
    <w:rsid w:val="00EC4E40"/>
    <w:rsid w:val="00F0736F"/>
    <w:rsid w:val="00F15AA4"/>
    <w:rsid w:val="00F916E4"/>
    <w:rsid w:val="00FC16AC"/>
    <w:rsid w:val="00FD2BFE"/>
    <w:rsid w:val="032D7F2F"/>
    <w:rsid w:val="04ED7979"/>
    <w:rsid w:val="052D6C99"/>
    <w:rsid w:val="05CF1AFF"/>
    <w:rsid w:val="05E27DE6"/>
    <w:rsid w:val="06624721"/>
    <w:rsid w:val="06951C9C"/>
    <w:rsid w:val="06C54CB0"/>
    <w:rsid w:val="073948D6"/>
    <w:rsid w:val="08BA0844"/>
    <w:rsid w:val="08C51625"/>
    <w:rsid w:val="099D3131"/>
    <w:rsid w:val="09C51E53"/>
    <w:rsid w:val="0A241553"/>
    <w:rsid w:val="0A4E2EC8"/>
    <w:rsid w:val="0AAF2AA5"/>
    <w:rsid w:val="0B1A3653"/>
    <w:rsid w:val="0C040FAC"/>
    <w:rsid w:val="0C066A05"/>
    <w:rsid w:val="0C0B6471"/>
    <w:rsid w:val="0CE15EC6"/>
    <w:rsid w:val="0D415BDD"/>
    <w:rsid w:val="0E0C1621"/>
    <w:rsid w:val="0E125B5A"/>
    <w:rsid w:val="0E165CCF"/>
    <w:rsid w:val="0EA03BE6"/>
    <w:rsid w:val="0F4731AF"/>
    <w:rsid w:val="0F4E1CE6"/>
    <w:rsid w:val="126260E9"/>
    <w:rsid w:val="12671C4D"/>
    <w:rsid w:val="12DE3239"/>
    <w:rsid w:val="16447CE0"/>
    <w:rsid w:val="16FC68BB"/>
    <w:rsid w:val="170A6D29"/>
    <w:rsid w:val="177726BA"/>
    <w:rsid w:val="198A054A"/>
    <w:rsid w:val="1D082CBF"/>
    <w:rsid w:val="1E870D71"/>
    <w:rsid w:val="1EDB254B"/>
    <w:rsid w:val="1EF961B8"/>
    <w:rsid w:val="1F43590D"/>
    <w:rsid w:val="1F615F42"/>
    <w:rsid w:val="1FFE1A9C"/>
    <w:rsid w:val="205C237E"/>
    <w:rsid w:val="20842D19"/>
    <w:rsid w:val="20C004F1"/>
    <w:rsid w:val="25527F40"/>
    <w:rsid w:val="25AE585D"/>
    <w:rsid w:val="28C00E96"/>
    <w:rsid w:val="29E21551"/>
    <w:rsid w:val="2A572D02"/>
    <w:rsid w:val="2C1620E7"/>
    <w:rsid w:val="2DFD246A"/>
    <w:rsid w:val="2ECB098C"/>
    <w:rsid w:val="2F08643E"/>
    <w:rsid w:val="2F37546B"/>
    <w:rsid w:val="31723B02"/>
    <w:rsid w:val="33633703"/>
    <w:rsid w:val="34BF4780"/>
    <w:rsid w:val="34F170F4"/>
    <w:rsid w:val="35D205B3"/>
    <w:rsid w:val="360C414D"/>
    <w:rsid w:val="37C64598"/>
    <w:rsid w:val="3905525C"/>
    <w:rsid w:val="39841BC6"/>
    <w:rsid w:val="3C7E3035"/>
    <w:rsid w:val="3DCF022E"/>
    <w:rsid w:val="3F4036CA"/>
    <w:rsid w:val="41377E16"/>
    <w:rsid w:val="4185518C"/>
    <w:rsid w:val="420C1409"/>
    <w:rsid w:val="45CC15DB"/>
    <w:rsid w:val="481A72BE"/>
    <w:rsid w:val="48526543"/>
    <w:rsid w:val="492620E3"/>
    <w:rsid w:val="49964544"/>
    <w:rsid w:val="49C72912"/>
    <w:rsid w:val="4AE37691"/>
    <w:rsid w:val="4B201A81"/>
    <w:rsid w:val="4B657A83"/>
    <w:rsid w:val="4C177328"/>
    <w:rsid w:val="4CE315F6"/>
    <w:rsid w:val="507B00C8"/>
    <w:rsid w:val="50864304"/>
    <w:rsid w:val="51AC6306"/>
    <w:rsid w:val="52CA1747"/>
    <w:rsid w:val="52CF46A6"/>
    <w:rsid w:val="53D12F02"/>
    <w:rsid w:val="57285034"/>
    <w:rsid w:val="583700D5"/>
    <w:rsid w:val="59A560E7"/>
    <w:rsid w:val="59CD2C90"/>
    <w:rsid w:val="5BCB4A9B"/>
    <w:rsid w:val="5BE423D8"/>
    <w:rsid w:val="5D31515F"/>
    <w:rsid w:val="5E725E63"/>
    <w:rsid w:val="60281F88"/>
    <w:rsid w:val="61412A26"/>
    <w:rsid w:val="61AA6786"/>
    <w:rsid w:val="627754E7"/>
    <w:rsid w:val="633E2EFB"/>
    <w:rsid w:val="6473670A"/>
    <w:rsid w:val="65200460"/>
    <w:rsid w:val="65B66671"/>
    <w:rsid w:val="65D33D67"/>
    <w:rsid w:val="67062A0E"/>
    <w:rsid w:val="682628CA"/>
    <w:rsid w:val="6AE9280B"/>
    <w:rsid w:val="6BDF5315"/>
    <w:rsid w:val="6C537170"/>
    <w:rsid w:val="6CA71903"/>
    <w:rsid w:val="6D1E400F"/>
    <w:rsid w:val="6D8852F5"/>
    <w:rsid w:val="6ECB392F"/>
    <w:rsid w:val="6F002721"/>
    <w:rsid w:val="6F4F4560"/>
    <w:rsid w:val="70C51859"/>
    <w:rsid w:val="714242D9"/>
    <w:rsid w:val="71D73D5F"/>
    <w:rsid w:val="736B109F"/>
    <w:rsid w:val="74FF64E6"/>
    <w:rsid w:val="75175B20"/>
    <w:rsid w:val="7564189C"/>
    <w:rsid w:val="763A21EF"/>
    <w:rsid w:val="787D0EFD"/>
    <w:rsid w:val="78FD6B4A"/>
    <w:rsid w:val="79A12FA2"/>
    <w:rsid w:val="7A0D1DC6"/>
    <w:rsid w:val="7A3C1B84"/>
    <w:rsid w:val="7AB132FD"/>
    <w:rsid w:val="7CAB695B"/>
    <w:rsid w:val="7D041C9B"/>
    <w:rsid w:val="7D1306DB"/>
    <w:rsid w:val="7D6E3C3C"/>
    <w:rsid w:val="7F5D0943"/>
    <w:rsid w:val="7F7D6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FollowedHyperlink"/>
    <w:basedOn w:val="10"/>
    <w:semiHidden/>
    <w:unhideWhenUsed/>
    <w:qFormat/>
    <w:uiPriority w:val="99"/>
    <w:rPr>
      <w:color w:val="333333"/>
      <w:u w:val="none"/>
    </w:rPr>
  </w:style>
  <w:style w:type="character" w:styleId="13">
    <w:name w:val="Hyperlink"/>
    <w:basedOn w:val="10"/>
    <w:unhideWhenUsed/>
    <w:qFormat/>
    <w:uiPriority w:val="99"/>
    <w:rPr>
      <w:color w:val="0000FF" w:themeColor="hyperlink"/>
      <w:u w:val="single"/>
      <w14:textFill>
        <w14:solidFill>
          <w14:schemeClr w14:val="hlink"/>
        </w14:solidFill>
      </w14:textFill>
    </w:rPr>
  </w:style>
  <w:style w:type="paragraph" w:styleId="14">
    <w:name w:val="List Paragraph"/>
    <w:basedOn w:val="1"/>
    <w:qFormat/>
    <w:uiPriority w:val="34"/>
    <w:pPr>
      <w:ind w:firstLine="420" w:firstLineChars="200"/>
    </w:pPr>
  </w:style>
  <w:style w:type="character" w:customStyle="1" w:styleId="15">
    <w:name w:val="标题 2 字符"/>
    <w:basedOn w:val="10"/>
    <w:link w:val="3"/>
    <w:qFormat/>
    <w:uiPriority w:val="9"/>
    <w:rPr>
      <w:rFonts w:asciiTheme="majorHAnsi" w:hAnsiTheme="majorHAnsi" w:eastAsiaTheme="majorEastAsia" w:cstheme="majorBidi"/>
      <w:b/>
      <w:bCs/>
      <w:sz w:val="32"/>
      <w:szCs w:val="32"/>
    </w:rPr>
  </w:style>
  <w:style w:type="character" w:customStyle="1" w:styleId="16">
    <w:name w:val="标题 1 字符"/>
    <w:basedOn w:val="10"/>
    <w:link w:val="2"/>
    <w:qFormat/>
    <w:uiPriority w:val="9"/>
    <w:rPr>
      <w:b/>
      <w:bCs/>
      <w:kern w:val="44"/>
      <w:sz w:val="44"/>
      <w:szCs w:val="44"/>
    </w:rPr>
  </w:style>
  <w:style w:type="character" w:customStyle="1" w:styleId="17">
    <w:name w:val="style2"/>
    <w:basedOn w:val="10"/>
    <w:qFormat/>
    <w:uiPriority w:val="0"/>
  </w:style>
  <w:style w:type="character" w:customStyle="1" w:styleId="18">
    <w:name w:val="未处理的提及1"/>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D23C88-A6CA-40A9-9E72-B84B81CA3DE2}">
  <ds:schemaRefs/>
</ds:datastoreItem>
</file>

<file path=docProps/app.xml><?xml version="1.0" encoding="utf-8"?>
<Properties xmlns="http://schemas.openxmlformats.org/officeDocument/2006/extended-properties" xmlns:vt="http://schemas.openxmlformats.org/officeDocument/2006/docPropsVTypes">
  <Template>Normal</Template>
  <Pages>8</Pages>
  <Words>1633</Words>
  <Characters>1829</Characters>
  <Lines>26</Lines>
  <Paragraphs>7</Paragraphs>
  <TotalTime>64</TotalTime>
  <ScaleCrop>false</ScaleCrop>
  <LinksUpToDate>false</LinksUpToDate>
  <CharactersWithSpaces>1829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2023-03-23T05:37:00Z</dcterms:created>
  <dc:creator>Administrator</dc:creator>
  <cp:lastModifiedBy>hp</cp:lastModifiedBy>
  <cp:lastPrinted>2023-03-23T06:03:00Z</cp:lastPrinted>
  <dcterms:modified xsi:type="dcterms:W3CDTF">2026-01-12T07:02:02Z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2E9912E4685D43C1BFBE776D955B13BA_13</vt:lpwstr>
  </property>
</Properties>
</file>